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2"/>
          <w:szCs w:val="32"/>
          <w:lang w:val="en-US" w:eastAsia="zh-CN"/>
        </w:rPr>
        <w:t>海洋路校区体育馆彩钢瓦玻璃屋顶修补</w:t>
      </w:r>
      <w:r>
        <w:rPr>
          <w:rFonts w:hint="eastAsia" w:ascii="宋体" w:hAnsi="宋体" w:cs="宋体"/>
          <w:b/>
          <w:color w:val="000000"/>
          <w:sz w:val="32"/>
          <w:szCs w:val="32"/>
          <w:lang w:eastAsia="zh-CN"/>
        </w:rPr>
        <w:t>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w:t>
      </w:r>
      <w:r>
        <w:rPr>
          <w:rFonts w:hint="eastAsia" w:ascii="仿宋_GB2312" w:hAnsi="仿宋_GB2312" w:eastAsia="仿宋_GB2312" w:cs="仿宋_GB2312"/>
          <w:color w:val="000000"/>
          <w:sz w:val="28"/>
          <w:szCs w:val="28"/>
          <w:u w:val="single"/>
          <w:lang w:val="en-US" w:eastAsia="zh-CN"/>
        </w:rPr>
        <w:t>海洋路校区体育馆彩钢瓦玻璃屋顶修补</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250DA3CA">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项目编号：XJ2025066</w:t>
      </w:r>
    </w:p>
    <w:p w14:paraId="7102046B">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w:t>
      </w:r>
      <w:r>
        <w:rPr>
          <w:rFonts w:hint="eastAsia" w:ascii="仿宋_GB2312" w:hAnsi="仿宋_GB2312" w:eastAsia="仿宋_GB2312" w:cs="仿宋_GB2312"/>
          <w:color w:val="000000"/>
          <w:sz w:val="28"/>
          <w:szCs w:val="28"/>
          <w:u w:val="none"/>
          <w:lang w:val="en-US" w:eastAsia="zh-CN"/>
        </w:rPr>
        <w:t>海洋路校区体育馆彩钢瓦玻璃屋顶修补</w:t>
      </w:r>
      <w:r>
        <w:rPr>
          <w:rFonts w:hint="eastAsia" w:ascii="仿宋_GB2312" w:hAnsi="仿宋_GB2312" w:eastAsia="仿宋_GB2312" w:cs="仿宋_GB2312"/>
          <w:color w:val="000000"/>
          <w:sz w:val="28"/>
          <w:szCs w:val="28"/>
          <w:u w:val="none"/>
          <w:lang w:eastAsia="zh-CN"/>
        </w:rPr>
        <w:t>采购项目</w:t>
      </w:r>
    </w:p>
    <w:p w14:paraId="0A9E1B6B">
      <w:pPr>
        <w:pStyle w:val="15"/>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6.9万</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超过预算的报价为无效报价。（按审计价结算）</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项目清单</w:t>
      </w:r>
      <w:r>
        <w:rPr>
          <w:rFonts w:hint="eastAsia" w:ascii="仿宋_GB2312" w:eastAsia="仿宋_GB2312" w:cs="仿宋_GB2312"/>
          <w:color w:val="000000"/>
          <w:kern w:val="0"/>
          <w:sz w:val="28"/>
          <w:szCs w:val="28"/>
          <w:lang w:val="en-US" w:eastAsia="zh-CN" w:bidi="ar"/>
        </w:rPr>
        <w:t>：（见修补方案）</w:t>
      </w:r>
    </w:p>
    <w:p w14:paraId="05277803">
      <w:pPr>
        <w:spacing w:beforeLines="100" w:afterLines="50"/>
        <w:jc w:val="center"/>
        <w:rPr>
          <w:rFonts w:hint="default" w:ascii="宋体" w:hAnsi="宋体"/>
          <w:b/>
          <w:sz w:val="52"/>
          <w:szCs w:val="52"/>
          <w:lang w:val="en-US" w:eastAsia="zh-CN"/>
        </w:rPr>
      </w:pPr>
      <w:r>
        <w:rPr>
          <w:rFonts w:hint="eastAsia" w:ascii="宋体" w:hAnsi="宋体"/>
          <w:b/>
          <w:sz w:val="52"/>
          <w:szCs w:val="52"/>
          <w:lang w:val="en-US" w:eastAsia="zh-CN"/>
        </w:rPr>
        <w:t>江苏省盐城技师学院海洋路校区</w:t>
      </w:r>
    </w:p>
    <w:p w14:paraId="06567738">
      <w:pPr>
        <w:spacing w:beforeLines="100" w:afterLines="50"/>
        <w:jc w:val="center"/>
        <w:rPr>
          <w:rFonts w:hint="default" w:ascii="宋体" w:hAnsi="宋体"/>
          <w:b/>
          <w:sz w:val="52"/>
          <w:szCs w:val="52"/>
          <w:lang w:val="en-US" w:eastAsia="zh-CN"/>
        </w:rPr>
      </w:pPr>
      <w:r>
        <w:rPr>
          <w:rFonts w:hint="eastAsia" w:ascii="宋体" w:hAnsi="宋体"/>
          <w:b/>
          <w:sz w:val="52"/>
          <w:szCs w:val="52"/>
          <w:lang w:val="en-US" w:eastAsia="zh-CN"/>
        </w:rPr>
        <w:t>体育馆彩钢瓦玻璃屋顶</w:t>
      </w:r>
    </w:p>
    <w:p w14:paraId="163B354B">
      <w:pPr>
        <w:spacing w:beforeLines="100" w:afterLines="50"/>
        <w:jc w:val="both"/>
        <w:rPr>
          <w:rFonts w:hint="eastAsia" w:ascii="宋体" w:hAnsi="宋体"/>
          <w:b/>
          <w:sz w:val="52"/>
          <w:szCs w:val="52"/>
          <w:lang w:val="en-US" w:eastAsia="zh-CN"/>
        </w:rPr>
      </w:pPr>
    </w:p>
    <w:p w14:paraId="188A7613">
      <w:pPr>
        <w:spacing w:beforeLines="100" w:afterLines="50"/>
        <w:jc w:val="center"/>
        <w:rPr>
          <w:rFonts w:hint="eastAsia" w:ascii="宋体" w:hAnsi="宋体"/>
          <w:b/>
          <w:sz w:val="72"/>
          <w:szCs w:val="72"/>
          <w:lang w:val="en-US" w:eastAsia="zh-CN"/>
        </w:rPr>
      </w:pPr>
      <w:r>
        <w:rPr>
          <w:rFonts w:hint="eastAsia" w:ascii="宋体" w:hAnsi="宋体"/>
          <w:b/>
          <w:sz w:val="72"/>
          <w:szCs w:val="72"/>
          <w:lang w:val="en-US" w:eastAsia="zh-CN"/>
        </w:rPr>
        <w:t>修</w:t>
      </w:r>
    </w:p>
    <w:p w14:paraId="147BB4CB">
      <w:pPr>
        <w:spacing w:beforeLines="100" w:afterLines="50"/>
        <w:jc w:val="center"/>
        <w:rPr>
          <w:rFonts w:hint="eastAsia" w:ascii="宋体" w:hAnsi="宋体"/>
          <w:b/>
          <w:sz w:val="72"/>
          <w:szCs w:val="72"/>
          <w:lang w:val="en-US" w:eastAsia="zh-CN"/>
        </w:rPr>
      </w:pPr>
      <w:r>
        <w:rPr>
          <w:rFonts w:hint="eastAsia" w:ascii="宋体" w:hAnsi="宋体"/>
          <w:b/>
          <w:sz w:val="72"/>
          <w:szCs w:val="72"/>
          <w:lang w:val="en-US" w:eastAsia="zh-CN"/>
        </w:rPr>
        <w:t>补</w:t>
      </w:r>
    </w:p>
    <w:p w14:paraId="339A1402">
      <w:pPr>
        <w:spacing w:beforeLines="100" w:afterLines="50"/>
        <w:jc w:val="center"/>
        <w:rPr>
          <w:rFonts w:hint="eastAsia" w:ascii="宋体" w:hAnsi="宋体"/>
          <w:b/>
          <w:sz w:val="72"/>
          <w:szCs w:val="72"/>
        </w:rPr>
      </w:pPr>
      <w:r>
        <w:rPr>
          <w:rFonts w:hint="eastAsia" w:ascii="宋体" w:hAnsi="宋体"/>
          <w:b/>
          <w:sz w:val="72"/>
          <w:szCs w:val="72"/>
        </w:rPr>
        <w:t>方</w:t>
      </w:r>
    </w:p>
    <w:p w14:paraId="17B52793">
      <w:pPr>
        <w:spacing w:beforeLines="100" w:afterLines="50"/>
        <w:jc w:val="center"/>
        <w:rPr>
          <w:b/>
          <w:sz w:val="72"/>
          <w:szCs w:val="72"/>
        </w:rPr>
      </w:pPr>
      <w:r>
        <w:rPr>
          <w:rFonts w:hint="eastAsia" w:ascii="宋体" w:hAnsi="宋体"/>
          <w:b/>
          <w:sz w:val="72"/>
          <w:szCs w:val="72"/>
        </w:rPr>
        <w:t>案</w:t>
      </w:r>
    </w:p>
    <w:sdt>
      <w:sdtPr>
        <w:rPr>
          <w:rFonts w:ascii="宋体" w:hAnsi="宋体" w:eastAsia="宋体" w:cs="Times New Roman"/>
          <w:kern w:val="2"/>
          <w:sz w:val="21"/>
          <w:szCs w:val="24"/>
          <w:lang w:val="en-US" w:eastAsia="zh-CN" w:bidi="ar-SA"/>
        </w:rPr>
        <w:id w:val="147460593"/>
        <w15:color w:val="DBDBDB"/>
        <w:docPartObj>
          <w:docPartGallery w:val="Table of Contents"/>
          <w:docPartUnique/>
        </w:docPartObj>
      </w:sdtPr>
      <w:sdtEndPr>
        <w:rPr>
          <w:rFonts w:hint="eastAsia" w:ascii="宋体" w:hAnsi="宋体" w:eastAsia="宋体" w:cs="Times New Roman"/>
          <w:kern w:val="2"/>
          <w:sz w:val="21"/>
          <w:szCs w:val="28"/>
          <w:lang w:val="en-US" w:eastAsia="zh-CN" w:bidi="ar-SA"/>
        </w:rPr>
      </w:sdtEndPr>
      <w:sdtContent>
        <w:p w14:paraId="6AA198D4">
          <w:pPr>
            <w:spacing w:before="0" w:beforeLines="0" w:after="0" w:afterLines="0" w:line="240" w:lineRule="auto"/>
            <w:ind w:left="0" w:leftChars="0" w:right="0" w:rightChars="0" w:firstLine="0" w:firstLineChars="0"/>
            <w:jc w:val="center"/>
          </w:pPr>
          <w:r>
            <w:rPr>
              <w:rFonts w:ascii="宋体" w:hAnsi="宋体" w:eastAsia="宋体"/>
              <w:sz w:val="21"/>
            </w:rPr>
            <w:t>目录</w:t>
          </w:r>
        </w:p>
        <w:p w14:paraId="3FFCE5D7">
          <w:pPr>
            <w:pStyle w:val="13"/>
            <w:tabs>
              <w:tab w:val="right" w:leader="hyphen" w:pos="9746"/>
            </w:tabs>
          </w:pPr>
          <w:r>
            <w:rPr>
              <w:rFonts w:hint="eastAsia" w:ascii="宋体" w:hAnsi="宋体"/>
              <w:sz w:val="28"/>
              <w:szCs w:val="28"/>
            </w:rPr>
            <w:fldChar w:fldCharType="begin"/>
          </w:r>
          <w:r>
            <w:rPr>
              <w:rFonts w:hint="eastAsia" w:ascii="宋体" w:hAnsi="宋体"/>
              <w:sz w:val="28"/>
              <w:szCs w:val="28"/>
            </w:rPr>
            <w:instrText xml:space="preserve">TOC \o "1-3" \h \u </w:instrText>
          </w:r>
          <w:r>
            <w:rPr>
              <w:rFonts w:hint="eastAsia" w:ascii="宋体" w:hAnsi="宋体"/>
              <w:sz w:val="28"/>
              <w:szCs w:val="28"/>
            </w:rPr>
            <w:fldChar w:fldCharType="separate"/>
          </w:r>
          <w:r>
            <w:rPr>
              <w:rFonts w:hint="eastAsia" w:ascii="宋体" w:hAnsi="宋体"/>
              <w:szCs w:val="28"/>
            </w:rPr>
            <w:fldChar w:fldCharType="begin"/>
          </w:r>
          <w:r>
            <w:rPr>
              <w:rFonts w:hint="eastAsia" w:ascii="宋体" w:hAnsi="宋体"/>
              <w:szCs w:val="28"/>
            </w:rPr>
            <w:instrText xml:space="preserve"> HYPERLINK \l _Toc7654 </w:instrText>
          </w:r>
          <w:r>
            <w:rPr>
              <w:rFonts w:hint="eastAsia" w:ascii="宋体" w:hAnsi="宋体"/>
              <w:szCs w:val="28"/>
            </w:rPr>
            <w:fldChar w:fldCharType="separate"/>
          </w:r>
          <w:r>
            <w:rPr>
              <w:rFonts w:hint="eastAsia"/>
              <w:lang w:val="en-US" w:eastAsia="zh-CN"/>
            </w:rPr>
            <w:t>一、</w:t>
          </w:r>
          <w:r>
            <w:rPr>
              <w:rFonts w:hint="eastAsia"/>
            </w:rPr>
            <w:t>编制前言</w:t>
          </w:r>
          <w:r>
            <w:tab/>
          </w:r>
          <w:r>
            <w:fldChar w:fldCharType="begin"/>
          </w:r>
          <w:r>
            <w:instrText xml:space="preserve"> PAGEREF _Toc7654 \h </w:instrText>
          </w:r>
          <w:r>
            <w:fldChar w:fldCharType="separate"/>
          </w:r>
          <w:r>
            <w:t>3</w:t>
          </w:r>
          <w:r>
            <w:fldChar w:fldCharType="end"/>
          </w:r>
          <w:r>
            <w:rPr>
              <w:rFonts w:hint="eastAsia" w:ascii="宋体" w:hAnsi="宋体"/>
              <w:szCs w:val="28"/>
            </w:rPr>
            <w:fldChar w:fldCharType="end"/>
          </w:r>
        </w:p>
        <w:p w14:paraId="0489F6D9">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_Toc23837 </w:instrText>
          </w:r>
          <w:r>
            <w:rPr>
              <w:rFonts w:hint="eastAsia" w:ascii="宋体" w:hAnsi="宋体"/>
              <w:szCs w:val="28"/>
            </w:rPr>
            <w:fldChar w:fldCharType="separate"/>
          </w:r>
          <w:r>
            <w:rPr>
              <w:rFonts w:hint="eastAsia"/>
              <w:lang w:val="en-US" w:eastAsia="zh-CN"/>
            </w:rPr>
            <w:t>1、项目情况介绍</w:t>
          </w:r>
          <w:r>
            <w:tab/>
          </w:r>
          <w:r>
            <w:fldChar w:fldCharType="begin"/>
          </w:r>
          <w:r>
            <w:instrText xml:space="preserve"> PAGEREF _Toc23837 \h </w:instrText>
          </w:r>
          <w:r>
            <w:fldChar w:fldCharType="separate"/>
          </w:r>
          <w:r>
            <w:t>3</w:t>
          </w:r>
          <w:r>
            <w:fldChar w:fldCharType="end"/>
          </w:r>
          <w:r>
            <w:rPr>
              <w:rFonts w:hint="eastAsia" w:ascii="宋体" w:hAnsi="宋体"/>
              <w:szCs w:val="28"/>
            </w:rPr>
            <w:fldChar w:fldCharType="end"/>
          </w:r>
        </w:p>
        <w:p w14:paraId="798A11CE">
          <w:pPr>
            <w:pStyle w:val="9"/>
            <w:keepNext w:val="0"/>
            <w:keepLines w:val="0"/>
            <w:pageBreakBefore w:val="0"/>
            <w:widowControl w:val="0"/>
            <w:tabs>
              <w:tab w:val="right" w:leader="hyphen" w:pos="9746"/>
            </w:tabs>
            <w:kinsoku/>
            <w:wordWrap/>
            <w:overflowPunct/>
            <w:topLinePunct w:val="0"/>
            <w:autoSpaceDE/>
            <w:autoSpaceDN/>
            <w:bidi w:val="0"/>
            <w:adjustRightInd/>
            <w:snapToGrid/>
            <w:spacing w:line="320" w:lineRule="exact"/>
            <w:textAlignment w:val="auto"/>
          </w:pPr>
          <w:r>
            <w:rPr>
              <w:rFonts w:hint="eastAsia" w:ascii="宋体" w:hAnsi="宋体"/>
              <w:szCs w:val="28"/>
            </w:rPr>
            <w:fldChar w:fldCharType="begin"/>
          </w:r>
          <w:r>
            <w:rPr>
              <w:rFonts w:hint="eastAsia" w:ascii="宋体" w:hAnsi="宋体"/>
              <w:szCs w:val="28"/>
            </w:rPr>
            <w:instrText xml:space="preserve"> HYPERLINK \l _Toc2212 </w:instrText>
          </w:r>
          <w:r>
            <w:rPr>
              <w:rFonts w:hint="eastAsia" w:ascii="宋体" w:hAnsi="宋体"/>
              <w:szCs w:val="28"/>
            </w:rPr>
            <w:fldChar w:fldCharType="separate"/>
          </w:r>
          <w:r>
            <w:rPr>
              <w:rFonts w:hint="eastAsia"/>
              <w:lang w:val="en-US" w:eastAsia="zh-CN"/>
            </w:rPr>
            <w:t>2、屋顶情况</w:t>
          </w:r>
          <w:r>
            <w:tab/>
          </w:r>
          <w:r>
            <w:fldChar w:fldCharType="begin"/>
          </w:r>
          <w:r>
            <w:instrText xml:space="preserve"> PAGEREF _Toc2212 \h </w:instrText>
          </w:r>
          <w:r>
            <w:fldChar w:fldCharType="separate"/>
          </w:r>
          <w:r>
            <w:t>3</w:t>
          </w:r>
          <w:r>
            <w:fldChar w:fldCharType="end"/>
          </w:r>
          <w:r>
            <w:rPr>
              <w:rFonts w:hint="eastAsia" w:ascii="宋体" w:hAnsi="宋体"/>
              <w:szCs w:val="28"/>
            </w:rPr>
            <w:fldChar w:fldCharType="end"/>
          </w:r>
        </w:p>
        <w:p w14:paraId="2CEEAC9B">
          <w:pPr>
            <w:pStyle w:val="9"/>
            <w:keepNext w:val="0"/>
            <w:keepLines w:val="0"/>
            <w:pageBreakBefore w:val="0"/>
            <w:widowControl w:val="0"/>
            <w:tabs>
              <w:tab w:val="right" w:leader="hyphen" w:pos="9746"/>
            </w:tabs>
            <w:kinsoku/>
            <w:wordWrap/>
            <w:overflowPunct/>
            <w:topLinePunct w:val="0"/>
            <w:autoSpaceDE/>
            <w:autoSpaceDN/>
            <w:bidi w:val="0"/>
            <w:adjustRightInd/>
            <w:snapToGrid/>
            <w:spacing w:line="480" w:lineRule="auto"/>
            <w:textAlignment w:val="auto"/>
          </w:pPr>
          <w:r>
            <w:rPr>
              <w:rFonts w:hint="eastAsia" w:ascii="宋体" w:hAnsi="宋体"/>
              <w:szCs w:val="28"/>
            </w:rPr>
            <w:fldChar w:fldCharType="begin"/>
          </w:r>
          <w:r>
            <w:rPr>
              <w:rFonts w:hint="eastAsia" w:ascii="宋体" w:hAnsi="宋体"/>
              <w:szCs w:val="28"/>
            </w:rPr>
            <w:instrText xml:space="preserve"> HYPERLINK \l _Toc7993 </w:instrText>
          </w:r>
          <w:r>
            <w:rPr>
              <w:rFonts w:hint="eastAsia" w:ascii="宋体" w:hAnsi="宋体"/>
              <w:szCs w:val="28"/>
            </w:rPr>
            <w:fldChar w:fldCharType="separate"/>
          </w:r>
          <w:r>
            <w:rPr>
              <w:rFonts w:hint="eastAsia"/>
              <w:lang w:val="en-US" w:eastAsia="zh-CN"/>
            </w:rPr>
            <w:t>3、项目宗旨;</w:t>
          </w:r>
          <w:r>
            <w:tab/>
          </w:r>
          <w:r>
            <w:fldChar w:fldCharType="begin"/>
          </w:r>
          <w:r>
            <w:instrText xml:space="preserve"> PAGEREF _Toc7993 \h </w:instrText>
          </w:r>
          <w:r>
            <w:fldChar w:fldCharType="separate"/>
          </w:r>
          <w:r>
            <w:t>5</w:t>
          </w:r>
          <w:r>
            <w:fldChar w:fldCharType="end"/>
          </w:r>
          <w:r>
            <w:rPr>
              <w:rFonts w:hint="eastAsia" w:ascii="宋体" w:hAnsi="宋体"/>
              <w:szCs w:val="28"/>
            </w:rPr>
            <w:fldChar w:fldCharType="end"/>
          </w:r>
        </w:p>
        <w:p w14:paraId="0F0BBA2D">
          <w:pPr>
            <w:pStyle w:val="9"/>
            <w:keepNext w:val="0"/>
            <w:keepLines w:val="0"/>
            <w:pageBreakBefore w:val="0"/>
            <w:widowControl w:val="0"/>
            <w:tabs>
              <w:tab w:val="right" w:leader="hyphen" w:pos="9746"/>
            </w:tabs>
            <w:kinsoku/>
            <w:wordWrap/>
            <w:overflowPunct/>
            <w:topLinePunct w:val="0"/>
            <w:autoSpaceDE/>
            <w:autoSpaceDN/>
            <w:bidi w:val="0"/>
            <w:adjustRightInd/>
            <w:snapToGrid/>
            <w:spacing w:line="420" w:lineRule="exact"/>
            <w:textAlignment w:val="auto"/>
          </w:pPr>
          <w:r>
            <w:rPr>
              <w:rFonts w:hint="eastAsia" w:ascii="宋体" w:hAnsi="宋体"/>
              <w:szCs w:val="28"/>
            </w:rPr>
            <w:fldChar w:fldCharType="begin"/>
          </w:r>
          <w:r>
            <w:rPr>
              <w:rFonts w:hint="eastAsia" w:ascii="宋体" w:hAnsi="宋体"/>
              <w:szCs w:val="28"/>
            </w:rPr>
            <w:instrText xml:space="preserve"> HYPERLINK \l _Toc20979 </w:instrText>
          </w:r>
          <w:r>
            <w:rPr>
              <w:rFonts w:hint="eastAsia" w:ascii="宋体" w:hAnsi="宋体"/>
              <w:szCs w:val="28"/>
            </w:rPr>
            <w:fldChar w:fldCharType="separate"/>
          </w:r>
          <w:r>
            <w:rPr>
              <w:rFonts w:hint="eastAsia"/>
              <w:lang w:val="en-US" w:eastAsia="zh-CN"/>
            </w:rPr>
            <w:t xml:space="preserve">4、 </w:t>
          </w:r>
          <w:r>
            <w:rPr>
              <w:rFonts w:hint="eastAsia"/>
            </w:rPr>
            <w:t>编制依据</w:t>
          </w:r>
          <w:r>
            <w:tab/>
          </w:r>
          <w:r>
            <w:fldChar w:fldCharType="begin"/>
          </w:r>
          <w:r>
            <w:instrText xml:space="preserve"> PAGEREF _Toc20979 \h </w:instrText>
          </w:r>
          <w:r>
            <w:fldChar w:fldCharType="separate"/>
          </w:r>
          <w:r>
            <w:t>5</w:t>
          </w:r>
          <w:r>
            <w:fldChar w:fldCharType="end"/>
          </w:r>
          <w:r>
            <w:rPr>
              <w:rFonts w:hint="eastAsia" w:ascii="宋体" w:hAnsi="宋体"/>
              <w:szCs w:val="28"/>
            </w:rPr>
            <w:fldChar w:fldCharType="end"/>
          </w:r>
        </w:p>
        <w:p w14:paraId="27F16BCD">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_Toc20617 </w:instrText>
          </w:r>
          <w:r>
            <w:rPr>
              <w:rFonts w:hint="eastAsia" w:ascii="宋体" w:hAnsi="宋体"/>
              <w:szCs w:val="28"/>
            </w:rPr>
            <w:fldChar w:fldCharType="separate"/>
          </w:r>
          <w:r>
            <w:rPr>
              <w:rFonts w:hint="eastAsia"/>
              <w:lang w:val="en-US" w:eastAsia="zh-CN"/>
            </w:rPr>
            <w:t>5、</w:t>
          </w:r>
          <w:r>
            <w:rPr>
              <w:rFonts w:hint="eastAsia"/>
            </w:rPr>
            <w:t>工程目标</w:t>
          </w:r>
          <w:r>
            <w:tab/>
          </w:r>
          <w:r>
            <w:fldChar w:fldCharType="begin"/>
          </w:r>
          <w:r>
            <w:instrText xml:space="preserve"> PAGEREF _Toc20617 \h </w:instrText>
          </w:r>
          <w:r>
            <w:fldChar w:fldCharType="separate"/>
          </w:r>
          <w:r>
            <w:t>6</w:t>
          </w:r>
          <w:r>
            <w:fldChar w:fldCharType="end"/>
          </w:r>
          <w:r>
            <w:rPr>
              <w:rFonts w:hint="eastAsia" w:ascii="宋体" w:hAnsi="宋体"/>
              <w:szCs w:val="28"/>
            </w:rPr>
            <w:fldChar w:fldCharType="end"/>
          </w:r>
        </w:p>
        <w:p w14:paraId="76A9E619">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_Toc25061 </w:instrText>
          </w:r>
          <w:r>
            <w:rPr>
              <w:rFonts w:hint="eastAsia" w:ascii="宋体" w:hAnsi="宋体"/>
              <w:szCs w:val="28"/>
            </w:rPr>
            <w:fldChar w:fldCharType="separate"/>
          </w:r>
          <w:r>
            <w:rPr>
              <w:rFonts w:hint="eastAsia"/>
              <w:lang w:val="en-US" w:eastAsia="zh-CN"/>
            </w:rPr>
            <w:t>二、  施工方案</w:t>
          </w:r>
          <w:r>
            <w:tab/>
          </w:r>
          <w:r>
            <w:fldChar w:fldCharType="begin"/>
          </w:r>
          <w:r>
            <w:instrText xml:space="preserve"> PAGEREF _Toc25061 \h </w:instrText>
          </w:r>
          <w:r>
            <w:fldChar w:fldCharType="separate"/>
          </w:r>
          <w:r>
            <w:t>6</w:t>
          </w:r>
          <w:r>
            <w:fldChar w:fldCharType="end"/>
          </w:r>
          <w:r>
            <w:rPr>
              <w:rFonts w:hint="eastAsia" w:ascii="宋体" w:hAnsi="宋体"/>
              <w:szCs w:val="28"/>
            </w:rPr>
            <w:fldChar w:fldCharType="end"/>
          </w:r>
        </w:p>
        <w:p w14:paraId="5D3A55FA">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_Toc21029 </w:instrText>
          </w:r>
          <w:r>
            <w:rPr>
              <w:rFonts w:hint="eastAsia" w:ascii="宋体" w:hAnsi="宋体"/>
              <w:szCs w:val="28"/>
            </w:rPr>
            <w:fldChar w:fldCharType="separate"/>
          </w:r>
          <w:r>
            <w:rPr>
              <w:rFonts w:hint="eastAsia"/>
              <w:lang w:val="en-US" w:eastAsia="zh-CN"/>
            </w:rPr>
            <w:t>1、彩钢瓦除锈翻新喷漆：</w:t>
          </w:r>
          <w:r>
            <w:tab/>
          </w:r>
          <w:r>
            <w:fldChar w:fldCharType="begin"/>
          </w:r>
          <w:r>
            <w:instrText xml:space="preserve"> PAGEREF _Toc21029 \h </w:instrText>
          </w:r>
          <w:r>
            <w:fldChar w:fldCharType="separate"/>
          </w:r>
          <w:r>
            <w:t>6</w:t>
          </w:r>
          <w:r>
            <w:fldChar w:fldCharType="end"/>
          </w:r>
          <w:r>
            <w:rPr>
              <w:rFonts w:hint="eastAsia" w:ascii="宋体" w:hAnsi="宋体"/>
              <w:szCs w:val="28"/>
            </w:rPr>
            <w:fldChar w:fldCharType="end"/>
          </w:r>
        </w:p>
        <w:p w14:paraId="6F64CCA0">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_Toc29022 </w:instrText>
          </w:r>
          <w:r>
            <w:rPr>
              <w:rFonts w:hint="eastAsia" w:ascii="宋体" w:hAnsi="宋体"/>
              <w:szCs w:val="28"/>
            </w:rPr>
            <w:fldChar w:fldCharType="separate"/>
          </w:r>
          <w:r>
            <w:rPr>
              <w:rFonts w:hint="eastAsia"/>
              <w:lang w:val="en-US" w:eastAsia="zh-CN"/>
            </w:rPr>
            <w:t>2、玻璃屋顶修复</w:t>
          </w:r>
          <w:r>
            <w:tab/>
          </w:r>
          <w:r>
            <w:fldChar w:fldCharType="begin"/>
          </w:r>
          <w:r>
            <w:instrText xml:space="preserve"> PAGEREF _Toc29022 \h </w:instrText>
          </w:r>
          <w:r>
            <w:fldChar w:fldCharType="separate"/>
          </w:r>
          <w:r>
            <w:t>8</w:t>
          </w:r>
          <w:r>
            <w:fldChar w:fldCharType="end"/>
          </w:r>
          <w:r>
            <w:rPr>
              <w:rFonts w:hint="eastAsia" w:ascii="宋体" w:hAnsi="宋体"/>
              <w:szCs w:val="28"/>
            </w:rPr>
            <w:fldChar w:fldCharType="end"/>
          </w:r>
        </w:p>
        <w:p w14:paraId="3C4E5D7B">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_Toc27896 </w:instrText>
          </w:r>
          <w:r>
            <w:rPr>
              <w:rFonts w:hint="eastAsia" w:ascii="宋体" w:hAnsi="宋体"/>
              <w:szCs w:val="28"/>
            </w:rPr>
            <w:fldChar w:fldCharType="separate"/>
          </w:r>
          <w:r>
            <w:rPr>
              <w:rFonts w:hint="eastAsia"/>
              <w:lang w:val="en-US" w:eastAsia="zh-CN"/>
            </w:rPr>
            <w:t>3、排水沟的修复</w:t>
          </w:r>
          <w:r>
            <w:tab/>
          </w:r>
          <w:r>
            <w:fldChar w:fldCharType="begin"/>
          </w:r>
          <w:r>
            <w:instrText xml:space="preserve"> PAGEREF _Toc27896 \h </w:instrText>
          </w:r>
          <w:r>
            <w:fldChar w:fldCharType="separate"/>
          </w:r>
          <w:r>
            <w:t>9</w:t>
          </w:r>
          <w:r>
            <w:fldChar w:fldCharType="end"/>
          </w:r>
          <w:r>
            <w:rPr>
              <w:rFonts w:hint="eastAsia" w:ascii="宋体" w:hAnsi="宋体"/>
              <w:szCs w:val="28"/>
            </w:rPr>
            <w:fldChar w:fldCharType="end"/>
          </w:r>
        </w:p>
        <w:p w14:paraId="7B7641AB">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_Toc13000 </w:instrText>
          </w:r>
          <w:r>
            <w:rPr>
              <w:rFonts w:hint="eastAsia" w:ascii="宋体" w:hAnsi="宋体"/>
              <w:szCs w:val="28"/>
            </w:rPr>
            <w:fldChar w:fldCharType="separate"/>
          </w:r>
          <w:r>
            <w:rPr>
              <w:rFonts w:hint="eastAsia"/>
              <w:lang w:val="en-US" w:eastAsia="zh-CN"/>
            </w:rPr>
            <w:t>4、排水管道疏通</w:t>
          </w:r>
          <w:r>
            <w:tab/>
          </w:r>
          <w:r>
            <w:fldChar w:fldCharType="begin"/>
          </w:r>
          <w:r>
            <w:instrText xml:space="preserve"> PAGEREF _Toc13000 \h </w:instrText>
          </w:r>
          <w:r>
            <w:fldChar w:fldCharType="separate"/>
          </w:r>
          <w:r>
            <w:t>10</w:t>
          </w:r>
          <w:r>
            <w:fldChar w:fldCharType="end"/>
          </w:r>
          <w:r>
            <w:rPr>
              <w:rFonts w:hint="eastAsia" w:ascii="宋体" w:hAnsi="宋体"/>
              <w:szCs w:val="28"/>
            </w:rPr>
            <w:fldChar w:fldCharType="end"/>
          </w:r>
        </w:p>
        <w:p w14:paraId="52616703">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_Toc10802 </w:instrText>
          </w:r>
          <w:r>
            <w:rPr>
              <w:rFonts w:hint="eastAsia" w:ascii="宋体" w:hAnsi="宋体"/>
              <w:szCs w:val="28"/>
            </w:rPr>
            <w:fldChar w:fldCharType="separate"/>
          </w:r>
          <w:r>
            <w:rPr>
              <w:rFonts w:hint="eastAsia"/>
              <w:lang w:val="en-US" w:eastAsia="zh-CN"/>
            </w:rPr>
            <w:t>三</w:t>
          </w:r>
          <w:r>
            <w:rPr>
              <w:rFonts w:hint="eastAsia"/>
              <w:lang w:eastAsia="zh-CN"/>
            </w:rPr>
            <w:t>、</w:t>
          </w:r>
          <w:r>
            <w:rPr>
              <w:rFonts w:hint="eastAsia"/>
              <w:lang w:val="en-US" w:eastAsia="zh-CN"/>
            </w:rPr>
            <w:t xml:space="preserve">  </w:t>
          </w:r>
          <w:r>
            <w:rPr>
              <w:rFonts w:hint="eastAsia"/>
              <w:lang w:eastAsia="zh-CN"/>
            </w:rPr>
            <w:t>材料介绍介绍</w:t>
          </w:r>
          <w:r>
            <w:tab/>
          </w:r>
          <w:r>
            <w:fldChar w:fldCharType="begin"/>
          </w:r>
          <w:r>
            <w:instrText xml:space="preserve"> PAGEREF _Toc10802 \h </w:instrText>
          </w:r>
          <w:r>
            <w:fldChar w:fldCharType="separate"/>
          </w:r>
          <w:r>
            <w:t>12</w:t>
          </w:r>
          <w:r>
            <w:fldChar w:fldCharType="end"/>
          </w:r>
          <w:r>
            <w:rPr>
              <w:rFonts w:hint="eastAsia" w:ascii="宋体" w:hAnsi="宋体"/>
              <w:szCs w:val="28"/>
            </w:rPr>
            <w:fldChar w:fldCharType="end"/>
          </w:r>
        </w:p>
        <w:p w14:paraId="18A179D6">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_Toc20823 </w:instrText>
          </w:r>
          <w:r>
            <w:rPr>
              <w:rFonts w:hint="eastAsia" w:ascii="宋体" w:hAnsi="宋体"/>
              <w:szCs w:val="28"/>
            </w:rPr>
            <w:fldChar w:fldCharType="separate"/>
          </w:r>
          <w:r>
            <w:rPr>
              <w:rFonts w:hint="eastAsia"/>
              <w:lang w:val="en-US" w:eastAsia="zh-CN"/>
            </w:rPr>
            <w:t>3.1  主材</w:t>
          </w:r>
          <w:r>
            <w:rPr>
              <w:rFonts w:hint="eastAsia"/>
            </w:rPr>
            <w:t>选择如下表：</w:t>
          </w:r>
          <w:r>
            <w:tab/>
          </w:r>
          <w:r>
            <w:fldChar w:fldCharType="begin"/>
          </w:r>
          <w:r>
            <w:instrText xml:space="preserve"> PAGEREF _Toc20823 \h </w:instrText>
          </w:r>
          <w:r>
            <w:fldChar w:fldCharType="separate"/>
          </w:r>
          <w:r>
            <w:t>12</w:t>
          </w:r>
          <w:r>
            <w:fldChar w:fldCharType="end"/>
          </w:r>
          <w:r>
            <w:rPr>
              <w:rFonts w:hint="eastAsia" w:ascii="宋体" w:hAnsi="宋体"/>
              <w:szCs w:val="28"/>
            </w:rPr>
            <w:fldChar w:fldCharType="end"/>
          </w:r>
        </w:p>
        <w:p w14:paraId="36A77D9F">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_Toc15340 </w:instrText>
          </w:r>
          <w:r>
            <w:rPr>
              <w:rFonts w:hint="eastAsia" w:ascii="宋体" w:hAnsi="宋体"/>
              <w:szCs w:val="28"/>
            </w:rPr>
            <w:fldChar w:fldCharType="separate"/>
          </w:r>
          <w:r>
            <w:rPr>
              <w:rFonts w:hint="eastAsia"/>
              <w:lang w:val="en-US" w:eastAsia="zh-CN"/>
            </w:rPr>
            <w:t>3.2主要材料介绍</w:t>
          </w:r>
          <w:r>
            <w:tab/>
          </w:r>
          <w:r>
            <w:fldChar w:fldCharType="begin"/>
          </w:r>
          <w:r>
            <w:instrText xml:space="preserve"> PAGEREF _Toc15340 \h </w:instrText>
          </w:r>
          <w:r>
            <w:fldChar w:fldCharType="separate"/>
          </w:r>
          <w:r>
            <w:t>12</w:t>
          </w:r>
          <w:r>
            <w:fldChar w:fldCharType="end"/>
          </w:r>
          <w:r>
            <w:rPr>
              <w:rFonts w:hint="eastAsia" w:ascii="宋体" w:hAnsi="宋体"/>
              <w:szCs w:val="28"/>
            </w:rPr>
            <w:fldChar w:fldCharType="end"/>
          </w:r>
        </w:p>
        <w:p w14:paraId="481216AB">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_Toc914 </w:instrText>
          </w:r>
          <w:r>
            <w:rPr>
              <w:rFonts w:hint="eastAsia" w:ascii="宋体" w:hAnsi="宋体"/>
              <w:szCs w:val="28"/>
            </w:rPr>
            <w:fldChar w:fldCharType="separate"/>
          </w:r>
          <w:r>
            <w:rPr>
              <w:rFonts w:hint="eastAsia"/>
              <w:lang w:val="en-US" w:eastAsia="zh-CN"/>
            </w:rPr>
            <w:t>四</w:t>
          </w:r>
          <w:r>
            <w:rPr>
              <w:rFonts w:hint="eastAsia"/>
              <w:lang w:eastAsia="zh-CN"/>
            </w:rPr>
            <w:t>、</w:t>
          </w:r>
          <w:r>
            <w:rPr>
              <w:rFonts w:hint="eastAsia"/>
            </w:rPr>
            <w:t xml:space="preserve"> 施工规范及验收检验</w:t>
          </w:r>
          <w:r>
            <w:tab/>
          </w:r>
          <w:r>
            <w:fldChar w:fldCharType="begin"/>
          </w:r>
          <w:r>
            <w:instrText xml:space="preserve"> PAGEREF _Toc914 \h </w:instrText>
          </w:r>
          <w:r>
            <w:fldChar w:fldCharType="separate"/>
          </w:r>
          <w:r>
            <w:t>14</w:t>
          </w:r>
          <w:r>
            <w:fldChar w:fldCharType="end"/>
          </w:r>
          <w:r>
            <w:rPr>
              <w:rFonts w:hint="eastAsia" w:ascii="宋体" w:hAnsi="宋体"/>
              <w:szCs w:val="28"/>
            </w:rPr>
            <w:fldChar w:fldCharType="end"/>
          </w:r>
        </w:p>
        <w:p w14:paraId="28AC8378">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_Toc24603 </w:instrText>
          </w:r>
          <w:r>
            <w:rPr>
              <w:rFonts w:hint="eastAsia" w:ascii="宋体" w:hAnsi="宋体"/>
              <w:szCs w:val="28"/>
            </w:rPr>
            <w:fldChar w:fldCharType="separate"/>
          </w:r>
          <w:r>
            <w:rPr>
              <w:rFonts w:hint="eastAsia"/>
              <w:lang w:val="en-US" w:eastAsia="zh-CN"/>
            </w:rPr>
            <w:t>4.1</w:t>
          </w:r>
          <w:r>
            <w:rPr>
              <w:rFonts w:hint="eastAsia"/>
            </w:rPr>
            <w:t>材料</w:t>
          </w:r>
          <w:r>
            <w:tab/>
          </w:r>
          <w:r>
            <w:fldChar w:fldCharType="begin"/>
          </w:r>
          <w:r>
            <w:instrText xml:space="preserve"> PAGEREF _Toc24603 \h </w:instrText>
          </w:r>
          <w:r>
            <w:fldChar w:fldCharType="separate"/>
          </w:r>
          <w:r>
            <w:t>14</w:t>
          </w:r>
          <w:r>
            <w:fldChar w:fldCharType="end"/>
          </w:r>
          <w:r>
            <w:rPr>
              <w:rFonts w:hint="eastAsia" w:ascii="宋体" w:hAnsi="宋体"/>
              <w:szCs w:val="28"/>
            </w:rPr>
            <w:fldChar w:fldCharType="end"/>
          </w:r>
        </w:p>
        <w:p w14:paraId="78157C40">
          <w:pPr>
            <w:pStyle w:val="9"/>
            <w:tabs>
              <w:tab w:val="right" w:leader="hyphen" w:pos="9746"/>
            </w:tabs>
          </w:pPr>
          <w:r>
            <w:rPr>
              <w:rFonts w:hint="eastAsia" w:ascii="宋体" w:hAnsi="宋体"/>
              <w:szCs w:val="28"/>
            </w:rPr>
            <w:fldChar w:fldCharType="begin"/>
          </w:r>
          <w:r>
            <w:rPr>
              <w:rFonts w:hint="eastAsia" w:ascii="宋体" w:hAnsi="宋体"/>
              <w:szCs w:val="28"/>
            </w:rPr>
            <w:instrText xml:space="preserve"> HYPERLINK \l _Toc4861 </w:instrText>
          </w:r>
          <w:r>
            <w:rPr>
              <w:rFonts w:hint="eastAsia" w:ascii="宋体" w:hAnsi="宋体"/>
              <w:szCs w:val="28"/>
            </w:rPr>
            <w:fldChar w:fldCharType="separate"/>
          </w:r>
          <w:r>
            <w:rPr>
              <w:rFonts w:hint="eastAsia"/>
              <w:lang w:val="en-US" w:eastAsia="zh-CN"/>
            </w:rPr>
            <w:t>4.2施工</w:t>
          </w:r>
          <w:r>
            <w:tab/>
          </w:r>
          <w:r>
            <w:fldChar w:fldCharType="begin"/>
          </w:r>
          <w:r>
            <w:instrText xml:space="preserve"> PAGEREF _Toc4861 \h </w:instrText>
          </w:r>
          <w:r>
            <w:fldChar w:fldCharType="separate"/>
          </w:r>
          <w:r>
            <w:t>14</w:t>
          </w:r>
          <w:r>
            <w:fldChar w:fldCharType="end"/>
          </w:r>
          <w:r>
            <w:rPr>
              <w:rFonts w:hint="eastAsia" w:ascii="宋体" w:hAnsi="宋体"/>
              <w:szCs w:val="28"/>
            </w:rPr>
            <w:fldChar w:fldCharType="end"/>
          </w:r>
        </w:p>
        <w:p w14:paraId="3286988C">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_Toc14357 </w:instrText>
          </w:r>
          <w:r>
            <w:rPr>
              <w:rFonts w:hint="eastAsia" w:ascii="宋体" w:hAnsi="宋体"/>
              <w:szCs w:val="28"/>
            </w:rPr>
            <w:fldChar w:fldCharType="separate"/>
          </w:r>
          <w:r>
            <w:rPr>
              <w:rFonts w:hint="eastAsia"/>
              <w:lang w:val="en-US" w:eastAsia="zh-CN"/>
            </w:rPr>
            <w:t xml:space="preserve">五、  </w:t>
          </w:r>
          <w:r>
            <w:rPr>
              <w:rFonts w:hint="eastAsia"/>
            </w:rPr>
            <w:t>成品保护</w:t>
          </w:r>
          <w:r>
            <w:tab/>
          </w:r>
          <w:r>
            <w:fldChar w:fldCharType="begin"/>
          </w:r>
          <w:r>
            <w:instrText xml:space="preserve"> PAGEREF _Toc14357 \h </w:instrText>
          </w:r>
          <w:r>
            <w:fldChar w:fldCharType="separate"/>
          </w:r>
          <w:r>
            <w:t>15</w:t>
          </w:r>
          <w:r>
            <w:fldChar w:fldCharType="end"/>
          </w:r>
          <w:r>
            <w:rPr>
              <w:rFonts w:hint="eastAsia" w:ascii="宋体" w:hAnsi="宋体"/>
              <w:szCs w:val="28"/>
            </w:rPr>
            <w:fldChar w:fldCharType="end"/>
          </w:r>
        </w:p>
        <w:p w14:paraId="4504ADEE">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_Toc2568 </w:instrText>
          </w:r>
          <w:r>
            <w:rPr>
              <w:rFonts w:hint="eastAsia" w:ascii="宋体" w:hAnsi="宋体"/>
              <w:szCs w:val="28"/>
            </w:rPr>
            <w:fldChar w:fldCharType="separate"/>
          </w:r>
          <w:r>
            <w:rPr>
              <w:rFonts w:hint="eastAsia"/>
              <w:lang w:val="en-US" w:eastAsia="zh-CN"/>
            </w:rPr>
            <w:t xml:space="preserve">六、  </w:t>
          </w:r>
          <w:r>
            <w:rPr>
              <w:rFonts w:hint="eastAsia"/>
            </w:rPr>
            <w:t>安全施工技术</w:t>
          </w:r>
          <w:r>
            <w:tab/>
          </w:r>
          <w:r>
            <w:fldChar w:fldCharType="begin"/>
          </w:r>
          <w:r>
            <w:instrText xml:space="preserve"> PAGEREF _Toc2568 \h </w:instrText>
          </w:r>
          <w:r>
            <w:fldChar w:fldCharType="separate"/>
          </w:r>
          <w:r>
            <w:t>15</w:t>
          </w:r>
          <w:r>
            <w:fldChar w:fldCharType="end"/>
          </w:r>
          <w:r>
            <w:rPr>
              <w:rFonts w:hint="eastAsia" w:ascii="宋体" w:hAnsi="宋体"/>
              <w:szCs w:val="28"/>
            </w:rPr>
            <w:fldChar w:fldCharType="end"/>
          </w:r>
        </w:p>
        <w:p w14:paraId="6C72252F">
          <w:pPr>
            <w:pStyle w:val="13"/>
            <w:tabs>
              <w:tab w:val="right" w:leader="hyphen" w:pos="9746"/>
            </w:tabs>
          </w:pPr>
          <w:r>
            <w:rPr>
              <w:rFonts w:hint="eastAsia" w:ascii="宋体" w:hAnsi="宋体"/>
              <w:szCs w:val="28"/>
            </w:rPr>
            <w:fldChar w:fldCharType="begin"/>
          </w:r>
          <w:r>
            <w:rPr>
              <w:rFonts w:hint="eastAsia" w:ascii="宋体" w:hAnsi="宋体"/>
              <w:szCs w:val="28"/>
            </w:rPr>
            <w:instrText xml:space="preserve"> HYPERLINK \l _Toc8489 </w:instrText>
          </w:r>
          <w:r>
            <w:rPr>
              <w:rFonts w:hint="eastAsia" w:ascii="宋体" w:hAnsi="宋体"/>
              <w:szCs w:val="28"/>
            </w:rPr>
            <w:fldChar w:fldCharType="separate"/>
          </w:r>
          <w:r>
            <w:rPr>
              <w:rFonts w:hint="eastAsia"/>
              <w:lang w:val="en-US" w:eastAsia="zh-CN"/>
            </w:rPr>
            <w:t>七、防水工程报价表</w:t>
          </w:r>
          <w:r>
            <w:tab/>
          </w:r>
          <w:r>
            <w:fldChar w:fldCharType="begin"/>
          </w:r>
          <w:r>
            <w:instrText xml:space="preserve"> PAGEREF _Toc8489 \h </w:instrText>
          </w:r>
          <w:r>
            <w:fldChar w:fldCharType="separate"/>
          </w:r>
          <w:r>
            <w:t>15</w:t>
          </w:r>
          <w:r>
            <w:fldChar w:fldCharType="end"/>
          </w:r>
          <w:r>
            <w:rPr>
              <w:rFonts w:hint="eastAsia" w:ascii="宋体" w:hAnsi="宋体"/>
              <w:szCs w:val="28"/>
            </w:rPr>
            <w:fldChar w:fldCharType="end"/>
          </w:r>
        </w:p>
        <w:p w14:paraId="4488A5E4">
          <w:pPr>
            <w:pStyle w:val="9"/>
            <w:tabs>
              <w:tab w:val="right" w:leader="hyphen" w:pos="9746"/>
            </w:tabs>
          </w:pPr>
        </w:p>
        <w:p w14:paraId="1FCF3824">
          <w:pPr>
            <w:spacing w:beforeLines="100" w:afterLines="50" w:line="360" w:lineRule="auto"/>
            <w:jc w:val="center"/>
            <w:rPr>
              <w:rFonts w:hint="eastAsia" w:ascii="宋体" w:hAnsi="宋体" w:eastAsia="宋体" w:cs="Times New Roman"/>
              <w:kern w:val="2"/>
              <w:sz w:val="21"/>
              <w:szCs w:val="28"/>
              <w:lang w:val="en-US" w:eastAsia="zh-CN" w:bidi="ar-SA"/>
            </w:rPr>
          </w:pPr>
          <w:r>
            <w:rPr>
              <w:rFonts w:hint="eastAsia" w:ascii="宋体" w:hAnsi="宋体"/>
              <w:szCs w:val="28"/>
            </w:rPr>
            <w:fldChar w:fldCharType="end"/>
          </w:r>
        </w:p>
      </w:sdtContent>
    </w:sdt>
    <w:p w14:paraId="2020A8F7">
      <w:pPr>
        <w:spacing w:beforeLines="100" w:afterLines="50" w:line="360" w:lineRule="auto"/>
        <w:jc w:val="center"/>
        <w:rPr>
          <w:rFonts w:hint="eastAsia" w:ascii="宋体" w:hAnsi="宋体" w:eastAsia="宋体" w:cs="Times New Roman"/>
          <w:kern w:val="2"/>
          <w:sz w:val="21"/>
          <w:szCs w:val="28"/>
          <w:lang w:val="en-US" w:eastAsia="zh-CN" w:bidi="ar-SA"/>
        </w:rPr>
      </w:pPr>
    </w:p>
    <w:p w14:paraId="6D8D97A0">
      <w:pPr>
        <w:spacing w:beforeLines="100" w:afterLines="50" w:line="360" w:lineRule="auto"/>
        <w:jc w:val="center"/>
        <w:rPr>
          <w:rFonts w:hint="eastAsia" w:ascii="宋体" w:hAnsi="宋体"/>
          <w:sz w:val="28"/>
          <w:szCs w:val="28"/>
        </w:rPr>
      </w:pPr>
    </w:p>
    <w:p w14:paraId="272380E3">
      <w:pPr>
        <w:spacing w:beforeLines="100" w:afterLines="50" w:line="360" w:lineRule="auto"/>
        <w:jc w:val="center"/>
        <w:rPr>
          <w:rFonts w:hint="eastAsia" w:ascii="宋体" w:hAnsi="宋体"/>
          <w:sz w:val="28"/>
          <w:szCs w:val="28"/>
        </w:rPr>
        <w:sectPr>
          <w:pgSz w:w="11906" w:h="16838"/>
          <w:pgMar w:top="1440" w:right="1080" w:bottom="1440" w:left="1080" w:header="851" w:footer="992" w:gutter="0"/>
          <w:cols w:space="425" w:num="1"/>
          <w:docGrid w:type="lines" w:linePitch="312" w:charSpace="0"/>
        </w:sectPr>
      </w:pPr>
    </w:p>
    <w:p w14:paraId="541F99D0">
      <w:pPr>
        <w:pStyle w:val="2"/>
        <w:bidi w:val="0"/>
      </w:pPr>
      <w:bookmarkStart w:id="0" w:name="_Toc7654"/>
      <w:bookmarkStart w:id="1" w:name="_Toc16765"/>
      <w:bookmarkStart w:id="2" w:name="_Toc21495"/>
      <w:bookmarkStart w:id="3" w:name="_Toc4110"/>
      <w:bookmarkStart w:id="4" w:name="_Toc7918"/>
      <w:r>
        <w:rPr>
          <w:rFonts w:hint="eastAsia"/>
          <w:lang w:val="en-US" w:eastAsia="zh-CN"/>
        </w:rPr>
        <w:t>一、</w:t>
      </w:r>
      <w:r>
        <w:rPr>
          <w:rFonts w:hint="eastAsia"/>
        </w:rPr>
        <w:t>编制前言</w:t>
      </w:r>
      <w:bookmarkEnd w:id="0"/>
      <w:bookmarkEnd w:id="1"/>
      <w:bookmarkEnd w:id="2"/>
      <w:bookmarkEnd w:id="3"/>
    </w:p>
    <w:p w14:paraId="7FC90C2B">
      <w:pPr>
        <w:pStyle w:val="3"/>
        <w:bidi w:val="0"/>
        <w:rPr>
          <w:rFonts w:hint="eastAsia" w:ascii="仿宋" w:hAnsi="仿宋" w:eastAsia="仿宋" w:cs="仿宋"/>
          <w:b w:val="0"/>
          <w:bCs w:val="0"/>
          <w:sz w:val="28"/>
          <w:szCs w:val="28"/>
          <w:lang w:val="en-US" w:eastAsia="zh-CN"/>
        </w:rPr>
      </w:pPr>
      <w:bookmarkStart w:id="5" w:name="_Toc23837"/>
      <w:bookmarkStart w:id="6" w:name="_Toc27557"/>
      <w:r>
        <w:rPr>
          <w:rFonts w:hint="eastAsia" w:ascii="仿宋" w:hAnsi="仿宋" w:eastAsia="仿宋" w:cs="仿宋"/>
          <w:b w:val="0"/>
          <w:bCs w:val="0"/>
          <w:sz w:val="28"/>
          <w:szCs w:val="28"/>
          <w:lang w:val="en-US" w:eastAsia="zh-CN"/>
        </w:rPr>
        <w:t>1、项目情况介绍</w:t>
      </w:r>
      <w:bookmarkEnd w:id="5"/>
    </w:p>
    <w:p w14:paraId="5942E7EB">
      <w:pPr>
        <w:pStyle w:val="3"/>
        <w:bidi w:val="0"/>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在海洋路校区体育馆彩钢瓦玻璃屋顶出现不规则渗水。经现场查看，原有顶面为彩钢瓦+玻璃屋顶，彩钢瓦屋顶两边用两条金属材质的材料作为排水沟用来排水，目前彩钢瓦基面已经出现锈蚀的情况，玻璃屋顶接缝处密封胶已经老化，排水沟底部也出现锈蚀和沙眼，造成不同程度的漏水和渗水情况。上述情况如不及时修缮会造成大面积锈蚀穿孔使得屋顶漏水，妨碍体育馆正常工作、给业主后期维修增加成本。以上情况是下雨时渗漏的主要原因，会严重影响屋面美观和正常使用，所以需采取严格修缮防水措施，制止屋顶继续锈蚀、渗漏。针对以上情况编制如下方案。</w:t>
      </w:r>
      <w:bookmarkStart w:id="7" w:name="_Toc2212"/>
    </w:p>
    <w:p w14:paraId="2BADD3B4">
      <w:pPr>
        <w:bidi w:val="0"/>
        <w:rPr>
          <w:rFonts w:hint="default"/>
          <w:lang w:val="en-US" w:eastAsia="zh-CN"/>
        </w:rPr>
      </w:pPr>
      <w:r>
        <w:rPr>
          <w:rFonts w:hint="eastAsia" w:ascii="仿宋" w:hAnsi="仿宋" w:eastAsia="仿宋" w:cs="仿宋"/>
          <w:b w:val="0"/>
          <w:bCs w:val="0"/>
          <w:sz w:val="28"/>
          <w:szCs w:val="28"/>
          <w:lang w:val="en-US" w:eastAsia="zh-CN"/>
        </w:rPr>
        <w:t>2、屋顶情况</w:t>
      </w:r>
      <w:bookmarkEnd w:id="7"/>
      <w:bookmarkStart w:id="8" w:name="_Toc5387"/>
      <w:bookmarkStart w:id="9" w:name="_Toc232"/>
      <w:bookmarkStart w:id="10" w:name="_Toc3406"/>
    </w:p>
    <w:p w14:paraId="4A062FD4">
      <w:pPr>
        <w:bidi w:val="0"/>
        <w:rPr>
          <w:rFonts w:hint="default"/>
          <w:lang w:val="en-US" w:eastAsia="zh-CN"/>
        </w:rPr>
      </w:pPr>
    </w:p>
    <w:p w14:paraId="56526460">
      <w:pPr>
        <w:bidi w:val="0"/>
        <w:jc w:val="left"/>
        <w:rPr>
          <w:rFonts w:hint="default"/>
          <w:lang w:val="en-US" w:eastAsia="zh-CN"/>
        </w:rPr>
      </w:pPr>
    </w:p>
    <w:p w14:paraId="303E0206">
      <w:pPr>
        <w:bidi w:val="0"/>
      </w:pPr>
      <w:r>
        <w:drawing>
          <wp:inline distT="0" distB="0" distL="114300" distR="114300">
            <wp:extent cx="5862955" cy="3404235"/>
            <wp:effectExtent l="0" t="0" r="4445" b="57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5862955" cy="340423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6031865" cy="3642995"/>
            <wp:effectExtent l="0" t="0" r="6985" b="1460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6031865" cy="3642995"/>
                    </a:xfrm>
                    <a:prstGeom prst="rect">
                      <a:avLst/>
                    </a:prstGeom>
                    <a:noFill/>
                    <a:ln>
                      <a:noFill/>
                    </a:ln>
                  </pic:spPr>
                </pic:pic>
              </a:graphicData>
            </a:graphic>
          </wp:inline>
        </w:drawing>
      </w:r>
    </w:p>
    <w:p w14:paraId="1462A80E">
      <w:pPr>
        <w:bidi w:val="0"/>
      </w:pPr>
    </w:p>
    <w:p w14:paraId="1A3BCE3F">
      <w:pPr>
        <w:bidi w:val="0"/>
        <w:rPr>
          <w:rFonts w:hint="eastAsia"/>
          <w:lang w:eastAsia="zh-CN"/>
        </w:rPr>
      </w:pPr>
      <w:r>
        <w:drawing>
          <wp:inline distT="0" distB="0" distL="114300" distR="114300">
            <wp:extent cx="6094730" cy="4092575"/>
            <wp:effectExtent l="0" t="0" r="1270" b="317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6094730" cy="4092575"/>
                    </a:xfrm>
                    <a:prstGeom prst="rect">
                      <a:avLst/>
                    </a:prstGeom>
                    <a:noFill/>
                    <a:ln>
                      <a:noFill/>
                    </a:ln>
                  </pic:spPr>
                </pic:pic>
              </a:graphicData>
            </a:graphic>
          </wp:inline>
        </w:drawing>
      </w:r>
      <w:r>
        <w:drawing>
          <wp:inline distT="0" distB="0" distL="114300" distR="114300">
            <wp:extent cx="6141085" cy="3454400"/>
            <wp:effectExtent l="0" t="0" r="12065" b="1270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6141085" cy="3454400"/>
                    </a:xfrm>
                    <a:prstGeom prst="rect">
                      <a:avLst/>
                    </a:prstGeom>
                    <a:noFill/>
                    <a:ln>
                      <a:noFill/>
                    </a:ln>
                  </pic:spPr>
                </pic:pic>
              </a:graphicData>
            </a:graphic>
          </wp:inline>
        </w:drawing>
      </w:r>
      <w:r>
        <w:drawing>
          <wp:inline distT="0" distB="0" distL="114300" distR="114300">
            <wp:extent cx="6168390" cy="3205480"/>
            <wp:effectExtent l="0" t="0" r="3810" b="1397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9"/>
                    <a:stretch>
                      <a:fillRect/>
                    </a:stretch>
                  </pic:blipFill>
                  <pic:spPr>
                    <a:xfrm>
                      <a:off x="0" y="0"/>
                      <a:ext cx="6168390" cy="3205480"/>
                    </a:xfrm>
                    <a:prstGeom prst="rect">
                      <a:avLst/>
                    </a:prstGeom>
                    <a:noFill/>
                    <a:ln>
                      <a:noFill/>
                    </a:ln>
                  </pic:spPr>
                </pic:pic>
              </a:graphicData>
            </a:graphic>
          </wp:inline>
        </w:drawing>
      </w:r>
      <w:bookmarkEnd w:id="4"/>
      <w:bookmarkEnd w:id="6"/>
      <w:bookmarkEnd w:id="8"/>
      <w:bookmarkEnd w:id="9"/>
      <w:bookmarkEnd w:id="10"/>
    </w:p>
    <w:p w14:paraId="74D5DBE7">
      <w:pPr>
        <w:pStyle w:val="3"/>
        <w:pageBreakBefore w:val="0"/>
        <w:widowControl w:val="0"/>
        <w:numPr>
          <w:ilvl w:val="0"/>
          <w:numId w:val="1"/>
        </w:numPr>
        <w:kinsoku/>
        <w:wordWrap/>
        <w:overflowPunct/>
        <w:topLinePunct w:val="0"/>
        <w:autoSpaceDE/>
        <w:autoSpaceDN/>
        <w:bidi w:val="0"/>
        <w:adjustRightInd/>
        <w:snapToGrid/>
        <w:spacing w:before="0" w:beforeAutospacing="0" w:after="0" w:afterAutospacing="0" w:line="520" w:lineRule="exact"/>
        <w:textAlignment w:val="auto"/>
        <w:outlineLvl w:val="2"/>
        <w:rPr>
          <w:rFonts w:hint="eastAsia" w:ascii="仿宋" w:hAnsi="仿宋" w:eastAsia="仿宋" w:cs="仿宋"/>
          <w:b/>
          <w:bCs/>
          <w:sz w:val="28"/>
          <w:szCs w:val="28"/>
          <w:lang w:val="en-US" w:eastAsia="zh-CN"/>
        </w:rPr>
      </w:pPr>
      <w:bookmarkStart w:id="11" w:name="_Toc7993"/>
      <w:r>
        <w:rPr>
          <w:rFonts w:hint="eastAsia" w:ascii="仿宋" w:hAnsi="仿宋" w:eastAsia="仿宋" w:cs="仿宋"/>
          <w:lang w:val="en-US" w:eastAsia="zh-CN"/>
        </w:rPr>
        <w:t>项目宗旨;</w:t>
      </w:r>
      <w:bookmarkEnd w:id="11"/>
    </w:p>
    <w:p w14:paraId="14006B13">
      <w:pPr>
        <w:pStyle w:val="3"/>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ind w:firstLine="562" w:firstLineChars="200"/>
        <w:textAlignment w:val="auto"/>
        <w:outlineLvl w:val="2"/>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三好（材料好、施工好、防护好）防水、不再漏水。</w:t>
      </w:r>
    </w:p>
    <w:p w14:paraId="43EEF7FE">
      <w:pPr>
        <w:pStyle w:val="3"/>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rPr>
      </w:pPr>
      <w:bookmarkStart w:id="12" w:name="_Toc20979"/>
      <w:bookmarkStart w:id="13" w:name="_Toc23526"/>
      <w:bookmarkStart w:id="14" w:name="_Toc8216"/>
      <w:bookmarkStart w:id="15" w:name="_Toc5363"/>
      <w:r>
        <w:rPr>
          <w:rFonts w:hint="eastAsia" w:ascii="仿宋" w:hAnsi="仿宋" w:eastAsia="仿宋" w:cs="仿宋"/>
          <w:lang w:val="en-US" w:eastAsia="zh-CN"/>
        </w:rPr>
        <w:t xml:space="preserve">4、 </w:t>
      </w:r>
      <w:r>
        <w:rPr>
          <w:rFonts w:hint="eastAsia" w:ascii="仿宋" w:hAnsi="仿宋" w:eastAsia="仿宋" w:cs="仿宋"/>
        </w:rPr>
        <w:t>编制依据</w:t>
      </w:r>
      <w:bookmarkEnd w:id="12"/>
    </w:p>
    <w:p w14:paraId="27684824">
      <w:pPr>
        <w:pageBreakBefore w:val="0"/>
        <w:widowControl w:val="0"/>
        <w:kinsoku/>
        <w:wordWrap/>
        <w:overflowPunct/>
        <w:topLinePunct w:val="0"/>
        <w:autoSpaceDE/>
        <w:autoSpaceDN/>
        <w:bidi w:val="0"/>
        <w:adjustRightInd/>
        <w:snapToGrid/>
        <w:spacing w:beforeAutospacing="0" w:afterAutospacing="0" w:line="52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GB55030-2022</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eastAsia="zh-CN"/>
        </w:rPr>
        <w:t>《建筑与市政工程防水通用规范》</w:t>
      </w:r>
      <w:r>
        <w:rPr>
          <w:rFonts w:hint="eastAsia" w:ascii="仿宋" w:hAnsi="仿宋" w:eastAsia="仿宋" w:cs="仿宋"/>
          <w:b/>
          <w:bCs/>
          <w:sz w:val="28"/>
          <w:szCs w:val="28"/>
        </w:rPr>
        <w:t xml:space="preserve"> </w:t>
      </w:r>
    </w:p>
    <w:p w14:paraId="63B179B5">
      <w:pPr>
        <w:pageBreakBefore w:val="0"/>
        <w:widowControl w:val="0"/>
        <w:kinsoku/>
        <w:wordWrap/>
        <w:overflowPunct/>
        <w:topLinePunct w:val="0"/>
        <w:autoSpaceDE/>
        <w:autoSpaceDN/>
        <w:bidi w:val="0"/>
        <w:adjustRightInd/>
        <w:snapToGrid/>
        <w:spacing w:beforeAutospacing="0" w:afterAutospacing="0" w:line="52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具体规范要求详见附件一</w:t>
      </w:r>
      <w:r>
        <w:rPr>
          <w:rFonts w:hint="eastAsia" w:ascii="仿宋" w:hAnsi="仿宋" w:eastAsia="仿宋" w:cs="仿宋"/>
          <w:b/>
          <w:bCs/>
          <w:sz w:val="28"/>
          <w:szCs w:val="28"/>
          <w:lang w:eastAsia="zh-CN"/>
        </w:rPr>
        <w:t>）</w:t>
      </w:r>
      <w:r>
        <w:rPr>
          <w:rFonts w:hint="eastAsia" w:ascii="仿宋" w:hAnsi="仿宋" w:eastAsia="仿宋" w:cs="仿宋"/>
          <w:b/>
          <w:bCs/>
          <w:sz w:val="28"/>
          <w:szCs w:val="28"/>
        </w:rPr>
        <w:t xml:space="preserve">  </w:t>
      </w:r>
      <w:r>
        <w:rPr>
          <w:rFonts w:hint="eastAsia" w:ascii="仿宋" w:hAnsi="仿宋" w:eastAsia="仿宋" w:cs="仿宋"/>
          <w:sz w:val="28"/>
          <w:szCs w:val="28"/>
        </w:rPr>
        <w:t xml:space="preserve">                                        </w:t>
      </w:r>
    </w:p>
    <w:p w14:paraId="667F5253">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GB50345-2004    《屋面工程技术规范》</w:t>
      </w:r>
    </w:p>
    <w:p w14:paraId="16CA9ADD">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GB50207-2002    《屋面工程质量验收规范》</w:t>
      </w:r>
    </w:p>
    <w:p w14:paraId="078285AB">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17CJ40-21       《建筑防水系统构造（二十一）》    </w:t>
      </w:r>
    </w:p>
    <w:p w14:paraId="05B7062A">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sz w:val="28"/>
          <w:szCs w:val="28"/>
        </w:rPr>
      </w:pPr>
      <w:bookmarkStart w:id="16" w:name="_Toc16331"/>
      <w:bookmarkStart w:id="17" w:name="_Toc20617"/>
      <w:bookmarkStart w:id="18" w:name="_Toc5836"/>
      <w:bookmarkStart w:id="19" w:name="_Toc8618"/>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工程目标</w:t>
      </w:r>
      <w:bookmarkEnd w:id="16"/>
      <w:bookmarkEnd w:id="17"/>
      <w:bookmarkEnd w:id="18"/>
      <w:bookmarkEnd w:id="19"/>
    </w:p>
    <w:p w14:paraId="58B8E35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1、质量目标</w:t>
      </w:r>
    </w:p>
    <w:p w14:paraId="75A5EEF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工程质量达到国家规定的优良标准。</w:t>
      </w:r>
    </w:p>
    <w:p w14:paraId="57399A82">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工程质量达到设计要求和合同规定的标准。</w:t>
      </w:r>
    </w:p>
    <w:p w14:paraId="3BA6BB09">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2、工期目标</w:t>
      </w:r>
    </w:p>
    <w:p w14:paraId="1FAD0C2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根据业主工期要求，集中人力、财力、物力确保工期不延误，在正常施工条件下按施工计划完成该项工程施工任务。</w:t>
      </w:r>
    </w:p>
    <w:p w14:paraId="0DCAF60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3、安全目标</w:t>
      </w:r>
    </w:p>
    <w:p w14:paraId="3EB91B4F">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 工人在施工前首先戴上安全帽，安全指施到位后方可施工.</w:t>
      </w:r>
    </w:p>
    <w:p w14:paraId="144A6B6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 防止重伤、杜绝死亡，达到无重大伤亡事故、无重大机械事故、无火灾事故、无食物中毒事故等“四无”要求。</w:t>
      </w:r>
    </w:p>
    <w:p w14:paraId="11769536">
      <w:pPr>
        <w:pStyle w:val="2"/>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bookmarkStart w:id="20" w:name="_Toc25061"/>
      <w:r>
        <w:rPr>
          <w:rFonts w:hint="eastAsia" w:ascii="仿宋" w:hAnsi="仿宋" w:eastAsia="仿宋" w:cs="仿宋"/>
          <w:lang w:val="en-US" w:eastAsia="zh-CN"/>
        </w:rPr>
        <w:t>二、施工方案</w:t>
      </w:r>
      <w:bookmarkEnd w:id="20"/>
    </w:p>
    <w:p w14:paraId="288BF90C">
      <w:pPr>
        <w:pStyle w:val="3"/>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bookmarkStart w:id="21" w:name="_Toc21029"/>
      <w:r>
        <w:rPr>
          <w:rFonts w:hint="eastAsia" w:ascii="仿宋" w:hAnsi="仿宋" w:eastAsia="仿宋" w:cs="仿宋"/>
          <w:lang w:val="en-US" w:eastAsia="zh-CN"/>
        </w:rPr>
        <w:t>1、彩钢瓦除锈翻新喷漆：</w:t>
      </w:r>
      <w:bookmarkEnd w:id="21"/>
    </w:p>
    <w:p w14:paraId="702F1541">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彩钢瓦长期暴露在户外，受风吹、日晒、雨淋等影响，容易出现生锈、漆面脱落等问题，进行翻新喷漆处理可以延长其使用寿命，提升外观效果。以下是彩钢瓦翻新喷漆处理的工艺步骤：</w:t>
      </w:r>
    </w:p>
    <w:p w14:paraId="54F110AC">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1.1施工前准备</w:t>
      </w:r>
    </w:p>
    <w:p w14:paraId="19B1CB83">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材料准备：选择优质的彩钢瓦专用漆，如丙烯酸漆、聚氨酯漆等，同时准备好稀释剂、底漆、面漆等配套材料。</w:t>
      </w:r>
    </w:p>
    <w:p w14:paraId="5390148E">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工具准备：常用工具包括高压水枪、砂纸、刷子、滚筒、喷枪、防护用品（如口罩、手套、护目镜）等。</w:t>
      </w:r>
    </w:p>
    <w:p w14:paraId="2098FFE5">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现场准备：清理彩钢瓦表面的杂物、灰尘、树叶等，确保施工区域安全，设置警示标识。</w:t>
      </w:r>
    </w:p>
    <w:p w14:paraId="6C40D635">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表面处理清洁：使用高压水枪对彩钢瓦表面进行全面冲洗，去除表面的污垢、灰尘和松散的锈层。对于油污较重的部位，可使用专用的清洁剂进行清洗，然后用清水冲洗干净。</w:t>
      </w:r>
    </w:p>
    <w:p w14:paraId="7F2B7402">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除锈：采用砂纸、钢丝刷等工具对彩钢瓦表面的锈迹进行打磨，将锈层彻底清除，直至露出金属本色。对于大面积的锈迹，可使用电动打磨机或喷砂设备进行处理，提高除锈效率。</w:t>
      </w:r>
    </w:p>
    <w:p w14:paraId="747EED61">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修复：检查彩钢瓦表面是否有破损、孔洞等问题，如有需要及时进行修复。</w:t>
      </w:r>
    </w:p>
    <w:p w14:paraId="7DE50E40">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对于较小的破损，可使用密封胶进行修补；对于较大的破损，需更换新的彩钢瓦。</w:t>
      </w:r>
    </w:p>
    <w:p w14:paraId="26491A02">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1.2底漆涂装</w:t>
      </w:r>
    </w:p>
    <w:p w14:paraId="672EC94C">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调配底漆：按照底漆产品说明书的要求，将铁红底漆与稀释剂按照一定比例进行调配，搅拌均匀。</w:t>
      </w:r>
    </w:p>
    <w:p w14:paraId="5CAA8E36">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涂刷底漆：使用喷漆设备将底漆均匀地涂刷在彩钢瓦表面，注意涂刷方向要一致，避免出现流挂、漏刷等现象。</w:t>
      </w:r>
    </w:p>
    <w:p w14:paraId="3F7636FB">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b w:val="0"/>
          <w:bCs w:val="0"/>
          <w:i w:val="0"/>
          <w:caps w:val="0"/>
          <w:color w:val="333333"/>
          <w:spacing w:val="0"/>
          <w:sz w:val="28"/>
          <w:szCs w:val="28"/>
          <w:u w:val="none"/>
          <w:lang w:val="en-US" w:eastAsia="zh-CN"/>
        </w:rPr>
      </w:pPr>
      <w:r>
        <w:rPr>
          <w:rFonts w:hint="eastAsia" w:ascii="仿宋" w:hAnsi="仿宋" w:eastAsia="仿宋" w:cs="仿宋"/>
          <w:sz w:val="28"/>
          <w:szCs w:val="28"/>
          <w:lang w:val="en-US" w:eastAsia="zh-CN"/>
        </w:rPr>
        <w:t>干燥：底漆涂刷完成后，等待底漆充分干燥，干燥时间根据底漆产品说明书和环境条件而定，一般需要 2 - 4 小时。</w:t>
      </w:r>
    </w:p>
    <w:p w14:paraId="0B509415">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1.3面漆涂装</w:t>
      </w:r>
    </w:p>
    <w:p w14:paraId="590C233C">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调配面漆：同样按照面漆产品说明书的要求，将丙烯酸面漆与稀释剂按照一定比例进行调配，搅拌均匀。</w:t>
      </w:r>
    </w:p>
    <w:p w14:paraId="6FAB0113">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喷涂或涂刷面漆：对于大面积的彩钢瓦翻新，可使用喷枪进行喷涂，喷涂时要注意喷枪与彩钢瓦表面的距离和角度，保持均匀的喷涂速度，确保面漆覆盖均匀。</w:t>
      </w:r>
    </w:p>
    <w:p w14:paraId="0D804194">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对于小面积或边角部位，可使用刷子或滚筒进行涂刷。</w:t>
      </w:r>
    </w:p>
    <w:p w14:paraId="01762B41">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1.4干燥和养护</w:t>
      </w:r>
    </w:p>
    <w:p w14:paraId="5B10DF5E">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面漆涂刷或喷涂完成后，等待面漆充分干燥，干燥时间根据面漆产品说明书和环境条件而定，一般需要 4 - 8 小时。</w:t>
      </w:r>
    </w:p>
    <w:p w14:paraId="33E8BDEF">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在面漆干燥过程中，要避免雨水、灰尘等污染，同时避免人员在彩钢瓦上行走或进行其他作业。</w:t>
      </w:r>
    </w:p>
    <w:p w14:paraId="3A67D4BD">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b w:val="0"/>
          <w:bCs w:val="0"/>
          <w:i w:val="0"/>
          <w:caps w:val="0"/>
          <w:color w:val="333333"/>
          <w:spacing w:val="0"/>
          <w:sz w:val="28"/>
          <w:szCs w:val="28"/>
          <w:u w:val="none"/>
          <w:lang w:val="en-US" w:eastAsia="zh-CN"/>
        </w:rPr>
      </w:pPr>
      <w:r>
        <w:rPr>
          <w:rFonts w:hint="eastAsia" w:ascii="仿宋" w:hAnsi="仿宋" w:eastAsia="仿宋" w:cs="仿宋"/>
          <w:sz w:val="28"/>
          <w:szCs w:val="28"/>
          <w:lang w:val="en-US" w:eastAsia="zh-CN"/>
        </w:rPr>
        <w:t>面漆干燥后，还需要进行一定时间的养护，一般为 24 - 48 小时，养护期间要避免对彩钢瓦进行剧烈碰撞或摩擦。</w:t>
      </w:r>
    </w:p>
    <w:p w14:paraId="01C4AB22">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1.5质量检查</w:t>
      </w:r>
    </w:p>
    <w:p w14:paraId="1164245B">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外观检查：检查彩钢瓦表面的喷漆效果，是否存在流挂、漏刷、气泡、色差等问题，如有需要及时进行修补。</w:t>
      </w:r>
    </w:p>
    <w:p w14:paraId="623C5DA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附着力检查：使用划格法或拉开法等方法检查面漆与底漆之间、底漆与彩钢瓦表面之间的附着力，附着力应符合相关标准要求。</w:t>
      </w:r>
    </w:p>
    <w:p w14:paraId="3BCA988A">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1.6注意事项</w:t>
      </w:r>
    </w:p>
    <w:p w14:paraId="549F5C77">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天气条件：应选择晴朗、干燥、通风良好的天气进行施工，避免在雨天、雾天、大风天等恶劣天气条件下施工。施工环境温度一般应在 5℃ - 35℃之间，相对湿度应不大于 85%。</w:t>
      </w:r>
    </w:p>
    <w:p w14:paraId="2F220AFC">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安全防护：施工人员要佩戴好防护用品，如口罩、手套、护目镜等，避免油漆接触皮肤和呼吸道。同时，要注意施工现场的防火、防爆安全。</w:t>
      </w:r>
    </w:p>
    <w:p w14:paraId="42738FD7">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施工顺序：按照先底漆后面漆的顺序进行施工，确保每一层漆都充分干燥后再进行下一层的施工。</w:t>
      </w:r>
    </w:p>
    <w:p w14:paraId="4DF12C96">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油漆储存：油漆应储存在阴凉、干燥、通风的地方，避免阳光直射和高温环境。同时，要注意油漆的保质期，过期的油漆不能使用。</w:t>
      </w:r>
    </w:p>
    <w:p w14:paraId="0A75BF7C">
      <w:pPr>
        <w:pStyle w:val="3"/>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bookmarkStart w:id="22" w:name="_Toc29022"/>
      <w:r>
        <w:rPr>
          <w:rFonts w:hint="eastAsia" w:ascii="仿宋" w:hAnsi="仿宋" w:eastAsia="仿宋" w:cs="仿宋"/>
          <w:lang w:val="en-US" w:eastAsia="zh-CN"/>
        </w:rPr>
        <w:t>2、玻璃屋顶修复</w:t>
      </w:r>
      <w:bookmarkEnd w:id="22"/>
    </w:p>
    <w:p w14:paraId="34BA51C9">
      <w:pPr>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eastAsia" w:ascii="仿宋" w:hAnsi="仿宋" w:eastAsia="仿宋" w:cs="仿宋"/>
          <w:b/>
          <w:bCs/>
          <w:i w:val="0"/>
          <w:caps w:val="0"/>
          <w:color w:val="333333"/>
          <w:spacing w:val="0"/>
          <w:sz w:val="28"/>
          <w:szCs w:val="28"/>
          <w:u w:val="none"/>
          <w:lang w:val="en-US" w:eastAsia="zh-CN"/>
        </w:rPr>
      </w:pPr>
      <w:r>
        <w:rPr>
          <w:rFonts w:hint="eastAsia" w:ascii="仿宋" w:hAnsi="仿宋" w:eastAsia="仿宋" w:cs="仿宋"/>
          <w:b/>
          <w:bCs/>
          <w:i w:val="0"/>
          <w:caps w:val="0"/>
          <w:color w:val="333333"/>
          <w:spacing w:val="0"/>
          <w:sz w:val="28"/>
          <w:szCs w:val="28"/>
          <w:u w:val="none"/>
          <w:lang w:val="en-US" w:eastAsia="zh-CN"/>
        </w:rPr>
        <w:t>2.1修复工具与材料准备</w:t>
      </w:r>
    </w:p>
    <w:p w14:paraId="25997496">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工具：玻璃胶枪、刮刀、毛刷、吸尘器、防水胶带、螺丝刀等。</w:t>
      </w:r>
    </w:p>
    <w:p w14:paraId="1EBBBFE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材料：65mm不锈钢防水胶带、中性耐候密封胶（如硅酮胶）、防水涂料、玻璃修补剂（针对裂纹）、</w:t>
      </w:r>
    </w:p>
    <w:p w14:paraId="103A59BD">
      <w:pPr>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eastAsia" w:ascii="仿宋" w:hAnsi="仿宋" w:eastAsia="仿宋" w:cs="仿宋"/>
          <w:b/>
          <w:bCs/>
          <w:i w:val="0"/>
          <w:caps w:val="0"/>
          <w:color w:val="333333"/>
          <w:spacing w:val="0"/>
          <w:sz w:val="28"/>
          <w:szCs w:val="28"/>
          <w:u w:val="none"/>
          <w:lang w:val="en-US" w:eastAsia="zh-CN"/>
        </w:rPr>
      </w:pPr>
      <w:r>
        <w:rPr>
          <w:rFonts w:hint="eastAsia" w:ascii="仿宋" w:hAnsi="仿宋" w:eastAsia="仿宋" w:cs="仿宋"/>
          <w:b/>
          <w:bCs/>
          <w:i w:val="0"/>
          <w:caps w:val="0"/>
          <w:color w:val="333333"/>
          <w:spacing w:val="0"/>
          <w:sz w:val="28"/>
          <w:szCs w:val="28"/>
          <w:u w:val="none"/>
          <w:lang w:val="en-US" w:eastAsia="zh-CN"/>
        </w:rPr>
        <w:t>2.2修复步骤</w:t>
      </w:r>
    </w:p>
    <w:p w14:paraId="10DAE9BF">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2.2.1 清洁处理</w:t>
      </w:r>
    </w:p>
    <w:p w14:paraId="575272C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用刮刀清除旧密封胶和杂物，用吸尘器清理灰尘，确保表面干燥、无油污。</w:t>
      </w:r>
    </w:p>
    <w:p w14:paraId="0D8F632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2.2.2 密封胶接缝修复（接缝漏水）</w:t>
      </w:r>
    </w:p>
    <w:p w14:paraId="0614DBA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在接缝处均匀打注新密封胶（建议选择弹性好的中性硅酮胶）。</w:t>
      </w:r>
    </w:p>
    <w:p w14:paraId="56BD1D36">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用刮刀压平胶体，确保与玻璃和框架紧密贴合。</w:t>
      </w:r>
    </w:p>
    <w:p w14:paraId="39B8816B">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2.2.3 玻璃破损修复</w:t>
      </w:r>
    </w:p>
    <w:p w14:paraId="65020624">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小裂纹：使用不锈钢胶带进行粘贴修补。</w:t>
      </w:r>
    </w:p>
    <w:p w14:paraId="636D891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大破损：需更换玻璃</w:t>
      </w:r>
    </w:p>
    <w:p w14:paraId="6214A038">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2.2.4 框架与排水系统修复</w:t>
      </w:r>
    </w:p>
    <w:p w14:paraId="7FC1A013">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锈蚀框架：除锈后涂防锈漆。</w:t>
      </w:r>
    </w:p>
    <w:p w14:paraId="1FC4B213">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2.2.5 整体防水加强</w:t>
      </w:r>
    </w:p>
    <w:p w14:paraId="418F29F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在接缝处贴不锈钢防水胶带作为保护。</w:t>
      </w:r>
    </w:p>
    <w:p w14:paraId="2FB97929">
      <w:pPr>
        <w:pStyle w:val="3"/>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2"/>
          <w:szCs w:val="32"/>
          <w:lang w:val="en-US" w:eastAsia="zh-CN"/>
        </w:rPr>
      </w:pPr>
      <w:bookmarkStart w:id="23" w:name="_Toc27896"/>
      <w:r>
        <w:rPr>
          <w:rFonts w:hint="eastAsia" w:ascii="仿宋" w:hAnsi="仿宋" w:eastAsia="仿宋" w:cs="仿宋"/>
          <w:sz w:val="32"/>
          <w:szCs w:val="32"/>
          <w:lang w:val="en-US" w:eastAsia="zh-CN"/>
        </w:rPr>
        <w:t>3、排水沟的修复</w:t>
      </w:r>
      <w:bookmarkEnd w:id="23"/>
    </w:p>
    <w:p w14:paraId="348F9607">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3.1 施工前准备</w:t>
      </w:r>
    </w:p>
    <w:p w14:paraId="36FC2116">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3.1.1材料准备：不锈钢防水卷材：1、3mm厚1m宽 不锈钢防水卷材SRS4010/XPE（非固化粘结）和65mm厚 0.5mm宽不锈钢胶带</w:t>
      </w:r>
    </w:p>
    <w:p w14:paraId="06065349">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辅助材料：非固化橡胶沥青防水涂料。</w:t>
      </w:r>
    </w:p>
    <w:p w14:paraId="43AD01EF">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3.1.2工具准备</w:t>
      </w:r>
    </w:p>
    <w:p w14:paraId="2318348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加热设备：如沥青锅、加热喷枪等，用于非固化。</w:t>
      </w:r>
    </w:p>
    <w:p w14:paraId="092772D3">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涂刷工具：包括刷子、滚筒等，用于非固化。</w:t>
      </w:r>
    </w:p>
    <w:p w14:paraId="1E314C4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其他工具：像扫帚、铲子、刮刀等，用于清理和处理排水沟表面。</w:t>
      </w:r>
    </w:p>
    <w:p w14:paraId="45E7D206">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3.2现场准备</w:t>
      </w:r>
    </w:p>
    <w:p w14:paraId="4D8DA2A1">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清理排水沟：用扫帚、铲子等工具清除排水沟内的杂物、灰尘、油污等，确保表面干净、干燥。</w:t>
      </w:r>
    </w:p>
    <w:p w14:paraId="7EEA0362">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检查排水沟：查看排水沟是否有裂缝、孔洞等缺陷，如有需要及时修补。对于较小的裂缝，可使用结构胶进行填充；较大的裂缝则需采用电焊补漏等方法处理。</w:t>
      </w:r>
    </w:p>
    <w:p w14:paraId="65BFFC50">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3.3施工步骤</w:t>
      </w:r>
    </w:p>
    <w:p w14:paraId="325E705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3.1.底漆涂刷</w:t>
      </w:r>
    </w:p>
    <w:p w14:paraId="6D27C62C">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调配底漆：把非固化加热搅拌均匀。</w:t>
      </w:r>
    </w:p>
    <w:p w14:paraId="2F54483C">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涂刷底漆：用刷子或滚筒将底漆均匀地涂刷在排水沟表面，厚度控制在 0.2mm左右。底漆的作用是增强不锈钢防水卷材与排水沟表面的粘结力。</w:t>
      </w:r>
    </w:p>
    <w:p w14:paraId="1C51B0C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3.2铺设不锈钢防水卷材</w:t>
      </w:r>
    </w:p>
    <w:p w14:paraId="51B9A242">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在非固化涂料面使用不锈钢防护卷需平铺，且间隙应＜3mm，施工采用前刮、后铺不锈钢防护卷材的方式，进行铺设。铺贴时需注意粘贴牢度和卷材间隙。</w:t>
      </w:r>
    </w:p>
    <w:p w14:paraId="535FAF29">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 收边处理</w:t>
      </w:r>
    </w:p>
    <w:p w14:paraId="34A80B04">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对排水沟的边缘、转角等部位进行收边处理，确保防水层的密封性。</w:t>
      </w:r>
    </w:p>
    <w:p w14:paraId="7F8EB8E9">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卷材封边：揭除不锈钢防水防护卷材搭接边的隔离膜后直接封边碾压即可，搭接宽度应≥65mm。</w:t>
      </w:r>
    </w:p>
    <w:p w14:paraId="07053362">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3.4施工工艺流程</w:t>
      </w:r>
    </w:p>
    <w:p w14:paraId="7D3BF2A6">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非固化橡胶沥青防水涂料、不锈钢防水防护卷材、施工工具准备→基层处理→细部节点处理→弹线、试铺→非固化橡胶沥青防水涂料加热喷涂或刮涂→不锈钢防水防护卷材粘贴→封边搭接→压条→质量验收→移交工作面。</w:t>
      </w:r>
    </w:p>
    <w:p w14:paraId="7D9E6427">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3.5施工后检查与维护</w:t>
      </w:r>
    </w:p>
    <w:p w14:paraId="386294CE">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检查：施工完成后，检查防水层是否有裂缝、孔洞、气泡等缺陷，如有需要及时修补。</w:t>
      </w:r>
    </w:p>
    <w:p w14:paraId="44E8A383">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维护：在防水层完全干燥前，避免人员或车辆在上面行走或碾压。</w:t>
      </w:r>
    </w:p>
    <w:p w14:paraId="64CF4963">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定期检查排水沟的防水情况，如发现防水层有损坏，及时进行修补。</w:t>
      </w:r>
    </w:p>
    <w:p w14:paraId="259F2655">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3.6注意事项</w:t>
      </w:r>
    </w:p>
    <w:p w14:paraId="2FE8AD71">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安全防护：施工人员要佩戴好防护用品，如安全帽、手套、护目镜等，防止沥青烫伤和中毒。</w:t>
      </w:r>
    </w:p>
    <w:p w14:paraId="2185697F">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环境保护：加热沥青时要注意通风，避免沥青烟气对环境造成污染。施工过程中产生的废弃物要及时清理，妥善处理。</w:t>
      </w:r>
    </w:p>
    <w:p w14:paraId="1C2752EA">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天气条件：应选择晴朗、干燥的天气进行施工，避免在雨天、雾天或大风天气施工。环境温度宜在 5℃以上，相对湿度不大于 85%。</w:t>
      </w:r>
    </w:p>
    <w:p w14:paraId="3D12D904">
      <w:pPr>
        <w:pStyle w:val="3"/>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bookmarkStart w:id="24" w:name="_Toc13000"/>
      <w:r>
        <w:rPr>
          <w:rFonts w:hint="eastAsia" w:ascii="仿宋" w:hAnsi="仿宋" w:eastAsia="仿宋" w:cs="仿宋"/>
          <w:lang w:val="en-US" w:eastAsia="zh-CN"/>
        </w:rPr>
        <w:t>4、排水管道疏通</w:t>
      </w:r>
      <w:bookmarkEnd w:id="24"/>
    </w:p>
    <w:p w14:paraId="5299B3B6">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屋顶排水管道畅通与否关系到房屋能否有效排水，避免因积水造成屋顶渗漏等问题。以下是一套较为通用的屋顶排水管道疏通流程：</w:t>
      </w:r>
    </w:p>
    <w:p w14:paraId="3417F166">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4.1疏通前的准备工作</w:t>
      </w:r>
    </w:p>
    <w:p w14:paraId="09072D76">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安全防护：准备好必要的安全装备，如安全帽、防滑鞋、安全带等。如果屋顶较高，需搭建稳固的脚手架或使用登高设备，并安排专人进行安全监护。</w:t>
      </w:r>
    </w:p>
    <w:p w14:paraId="47BF62B4">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工具与材料：常用的疏通工具包括管道疏通机、高压水枪、长杆疏通器、铲子、水桶等。此外，准备一些清洁用的洗涤剂、消毒剂等材料。</w:t>
      </w:r>
    </w:p>
    <w:p w14:paraId="349B7807">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现场勘察：对屋顶排水管道的布局、走向进行了解，查看管道有无明显的破损、变形等情况。同时，观察排水口周围的杂物堆积情况，预估疏通的难度。</w:t>
      </w:r>
    </w:p>
    <w:p w14:paraId="1EEA8ACD">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4.2具体疏通步骤</w:t>
      </w:r>
    </w:p>
    <w:p w14:paraId="1791301B">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4.2.1清理排水口</w:t>
      </w:r>
    </w:p>
    <w:p w14:paraId="79E4461D">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先用铲子、扫帚等工具将排水口周围的树叶、树枝、垃圾等杂物清理掉，防止杂物进入管道造成进一步堵塞。</w:t>
      </w:r>
    </w:p>
    <w:p w14:paraId="3D7D565C">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打开排水口的格栅或滤网，将其取出并进行单独清洗，去除附着在上面的污垢。</w:t>
      </w:r>
    </w:p>
    <w:p w14:paraId="3E9E752B">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初步疏通尝试使用长杆疏通器，将其插入排水管道中，通过上下移动、旋转等方式，尝试将管道内的堵塞物捅开。在操作过程中要注意力度适中，避免损坏管道。</w:t>
      </w:r>
    </w:p>
    <w:p w14:paraId="1FBC5C21">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使用管道疏通机</w:t>
      </w:r>
    </w:p>
    <w:p w14:paraId="259B975A">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如果长杆疏通器无法解决问题，可以使用管道疏通机。将疏通机的钻头或钢缆插入排水管道，开启疏通机，让钻头或钢缆在管道内旋转前进，将堵塞物搅碎或推出。</w:t>
      </w:r>
    </w:p>
    <w:p w14:paraId="63ACF71B">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在使用疏通机时，要根据管道的材质和管径选择合适的钻头或钢缆，并控制好疏通机的速度和力度。</w:t>
      </w:r>
    </w:p>
    <w:p w14:paraId="6C93CE77">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4.2.2高压水枪冲洗</w:t>
      </w:r>
    </w:p>
    <w:p w14:paraId="0BC565AB">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管道疏通机作业完成后，使用高压水枪对排水管道进行冲洗。将高压水枪的喷头插入管道内，打开水枪开关，利用高压水流将管道内剩余的杂物和污垢冲净。</w:t>
      </w:r>
    </w:p>
    <w:p w14:paraId="44B13CBC">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冲洗时要从排水口的上游开始，逐步向下游推进，确保整个管道都能得到充分冲洗。</w:t>
      </w:r>
    </w:p>
    <w:p w14:paraId="04776B2C">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检查排水情况</w:t>
      </w:r>
    </w:p>
    <w:p w14:paraId="5040FBD8">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完成冲洗后，向排水口倒入一定量的水，观察水的排出情况。如果水能够迅速、顺畅地排出，说明管道已疏通；若排水仍然缓慢或有积水，需重复上述疏通步骤，直至排水正常。</w:t>
      </w:r>
    </w:p>
    <w:p w14:paraId="2D6EB360">
      <w:pPr>
        <w:pStyle w:val="4"/>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lang w:val="en-US" w:eastAsia="zh-CN"/>
        </w:rPr>
      </w:pPr>
      <w:r>
        <w:rPr>
          <w:rFonts w:hint="eastAsia" w:ascii="仿宋" w:hAnsi="仿宋" w:eastAsia="仿宋" w:cs="仿宋"/>
          <w:lang w:val="en-US" w:eastAsia="zh-CN"/>
        </w:rPr>
        <w:t>4.3疏通后的收尾工作</w:t>
      </w:r>
    </w:p>
    <w:p w14:paraId="102989D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恢复排水口设施：将清洗干净的格栅或滤网重新安装到排水口上，并确保安装牢固。</w:t>
      </w:r>
    </w:p>
    <w:p w14:paraId="3BBB4665">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清理现场：将疏通过程中产生的杂物、污水等清理干净，保持屋顶整洁。</w:t>
      </w:r>
    </w:p>
    <w:p w14:paraId="0C0107A0">
      <w:pPr>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定期维护计划：制定屋顶排水管道的定期维护计划，如每隔一段时间对排水口进行清理、检查管道是否有堵塞迹象等，以预防排水管道再次堵塞。</w:t>
      </w:r>
    </w:p>
    <w:p w14:paraId="55E8BE15">
      <w:pPr>
        <w:pStyle w:val="2"/>
        <w:bidi w:val="0"/>
        <w:rPr>
          <w:rFonts w:hint="eastAsia" w:ascii="仿宋" w:hAnsi="仿宋" w:eastAsia="仿宋" w:cs="仿宋"/>
          <w:lang w:eastAsia="zh-CN"/>
        </w:rPr>
      </w:pPr>
      <w:bookmarkStart w:id="25" w:name="_Toc10802"/>
      <w:r>
        <w:rPr>
          <w:rFonts w:hint="eastAsia" w:ascii="仿宋" w:hAnsi="仿宋" w:eastAsia="仿宋" w:cs="仿宋"/>
          <w:lang w:val="en-US" w:eastAsia="zh-CN"/>
        </w:rPr>
        <w:t>三</w:t>
      </w:r>
      <w:r>
        <w:rPr>
          <w:rFonts w:hint="eastAsia" w:ascii="仿宋" w:hAnsi="仿宋" w:eastAsia="仿宋" w:cs="仿宋"/>
          <w:lang w:eastAsia="zh-CN"/>
        </w:rPr>
        <w:t>、</w:t>
      </w:r>
      <w:r>
        <w:rPr>
          <w:rFonts w:hint="eastAsia" w:ascii="仿宋" w:hAnsi="仿宋" w:eastAsia="仿宋" w:cs="仿宋"/>
          <w:lang w:val="en-US" w:eastAsia="zh-CN"/>
        </w:rPr>
        <w:t xml:space="preserve">  </w:t>
      </w:r>
      <w:r>
        <w:rPr>
          <w:rFonts w:hint="eastAsia" w:ascii="仿宋" w:hAnsi="仿宋" w:eastAsia="仿宋" w:cs="仿宋"/>
          <w:lang w:eastAsia="zh-CN"/>
        </w:rPr>
        <w:t>材料介绍介绍</w:t>
      </w:r>
      <w:bookmarkEnd w:id="25"/>
    </w:p>
    <w:p w14:paraId="6A1ABDAB">
      <w:pPr>
        <w:pStyle w:val="3"/>
        <w:bidi w:val="0"/>
        <w:rPr>
          <w:rFonts w:hint="eastAsia" w:ascii="仿宋" w:hAnsi="仿宋" w:eastAsia="仿宋" w:cs="仿宋"/>
        </w:rPr>
      </w:pPr>
      <w:bookmarkStart w:id="26" w:name="_Toc20823"/>
      <w:r>
        <w:rPr>
          <w:rFonts w:hint="eastAsia" w:ascii="仿宋" w:hAnsi="仿宋" w:eastAsia="仿宋" w:cs="仿宋"/>
          <w:lang w:val="en-US" w:eastAsia="zh-CN"/>
        </w:rPr>
        <w:t>3.1  主材</w:t>
      </w:r>
      <w:r>
        <w:rPr>
          <w:rFonts w:hint="eastAsia" w:ascii="仿宋" w:hAnsi="仿宋" w:eastAsia="仿宋" w:cs="仿宋"/>
        </w:rPr>
        <w:t>选择如下表：</w:t>
      </w:r>
      <w:bookmarkEnd w:id="26"/>
    </w:p>
    <w:tbl>
      <w:tblPr>
        <w:tblStyle w:val="17"/>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5952"/>
        <w:gridCol w:w="2198"/>
      </w:tblGrid>
      <w:tr w14:paraId="3C5B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963" w:type="dxa"/>
            <w:vAlign w:val="center"/>
          </w:tcPr>
          <w:p w14:paraId="06A28DF8">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序号</w:t>
            </w:r>
          </w:p>
        </w:tc>
        <w:tc>
          <w:tcPr>
            <w:tcW w:w="5952" w:type="dxa"/>
            <w:vAlign w:val="center"/>
          </w:tcPr>
          <w:p w14:paraId="564B93B4">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材料名称</w:t>
            </w:r>
          </w:p>
        </w:tc>
        <w:tc>
          <w:tcPr>
            <w:tcW w:w="2198" w:type="dxa"/>
            <w:vAlign w:val="center"/>
          </w:tcPr>
          <w:p w14:paraId="1B667F05">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施工部位</w:t>
            </w:r>
          </w:p>
        </w:tc>
      </w:tr>
      <w:tr w14:paraId="56723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Align w:val="center"/>
          </w:tcPr>
          <w:p w14:paraId="50B7D363">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5952" w:type="dxa"/>
            <w:vAlign w:val="center"/>
          </w:tcPr>
          <w:p w14:paraId="02EFB57F">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3mm厚1m宽 不锈钢防水卷材SRS4010/XPE（非固化粘结）</w:t>
            </w:r>
          </w:p>
        </w:tc>
        <w:tc>
          <w:tcPr>
            <w:tcW w:w="2198" w:type="dxa"/>
            <w:vAlign w:val="center"/>
          </w:tcPr>
          <w:p w14:paraId="7845688A">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排水沟</w:t>
            </w:r>
          </w:p>
        </w:tc>
      </w:tr>
      <w:tr w14:paraId="154C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47A115D8">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w:t>
            </w:r>
          </w:p>
        </w:tc>
        <w:tc>
          <w:tcPr>
            <w:tcW w:w="5952" w:type="dxa"/>
            <w:vAlign w:val="center"/>
          </w:tcPr>
          <w:p w14:paraId="1569505D">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非固化橡胶沥青防水涂料</w:t>
            </w:r>
          </w:p>
        </w:tc>
        <w:tc>
          <w:tcPr>
            <w:tcW w:w="2198" w:type="dxa"/>
            <w:vAlign w:val="center"/>
          </w:tcPr>
          <w:p w14:paraId="62C5D186">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排水沟</w:t>
            </w:r>
          </w:p>
        </w:tc>
      </w:tr>
      <w:tr w14:paraId="34AE8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3318A92D">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3</w:t>
            </w:r>
          </w:p>
        </w:tc>
        <w:tc>
          <w:tcPr>
            <w:tcW w:w="5952" w:type="dxa"/>
            <w:vAlign w:val="center"/>
          </w:tcPr>
          <w:p w14:paraId="2BA063DA">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65mm厚 0.5mm宽不锈钢密封胶带</w:t>
            </w:r>
          </w:p>
        </w:tc>
        <w:tc>
          <w:tcPr>
            <w:tcW w:w="2198" w:type="dxa"/>
            <w:vAlign w:val="center"/>
          </w:tcPr>
          <w:p w14:paraId="11E40667">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玻璃屋顶、排水沟接缝处</w:t>
            </w:r>
          </w:p>
        </w:tc>
      </w:tr>
      <w:tr w14:paraId="73EE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41BD9706">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4</w:t>
            </w:r>
          </w:p>
        </w:tc>
        <w:tc>
          <w:tcPr>
            <w:tcW w:w="5952" w:type="dxa"/>
            <w:vAlign w:val="center"/>
          </w:tcPr>
          <w:p w14:paraId="76F9B6C8">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树脂铁红底漆</w:t>
            </w:r>
          </w:p>
        </w:tc>
        <w:tc>
          <w:tcPr>
            <w:tcW w:w="2198" w:type="dxa"/>
            <w:vAlign w:val="center"/>
          </w:tcPr>
          <w:p w14:paraId="09FF8B4A">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彩钢瓦翻新</w:t>
            </w:r>
          </w:p>
        </w:tc>
      </w:tr>
      <w:tr w14:paraId="4CDE2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69E3712C">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5</w:t>
            </w:r>
          </w:p>
        </w:tc>
        <w:tc>
          <w:tcPr>
            <w:tcW w:w="5952" w:type="dxa"/>
            <w:vAlign w:val="center"/>
          </w:tcPr>
          <w:p w14:paraId="387E2C41">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树脂丙烯酸面漆</w:t>
            </w:r>
          </w:p>
        </w:tc>
        <w:tc>
          <w:tcPr>
            <w:tcW w:w="2198" w:type="dxa"/>
            <w:vAlign w:val="center"/>
          </w:tcPr>
          <w:p w14:paraId="1D94E5EE">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彩钢瓦翻新</w:t>
            </w:r>
          </w:p>
        </w:tc>
      </w:tr>
      <w:tr w14:paraId="09E21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7CBF12A6">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6</w:t>
            </w:r>
          </w:p>
        </w:tc>
        <w:tc>
          <w:tcPr>
            <w:tcW w:w="5952" w:type="dxa"/>
            <w:vAlign w:val="center"/>
          </w:tcPr>
          <w:p w14:paraId="1B1B3568">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防水密封胶</w:t>
            </w:r>
          </w:p>
        </w:tc>
        <w:tc>
          <w:tcPr>
            <w:tcW w:w="2198" w:type="dxa"/>
            <w:vAlign w:val="center"/>
          </w:tcPr>
          <w:p w14:paraId="7D0961CD">
            <w:pPr>
              <w:bidi w:val="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玻璃屋顶</w:t>
            </w:r>
          </w:p>
        </w:tc>
      </w:tr>
    </w:tbl>
    <w:p w14:paraId="3BD6D4A7">
      <w:pPr>
        <w:pStyle w:val="3"/>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lang w:val="en-US" w:eastAsia="zh-CN"/>
        </w:rPr>
      </w:pPr>
      <w:bookmarkStart w:id="27" w:name="_Toc15340"/>
      <w:r>
        <w:rPr>
          <w:rFonts w:hint="eastAsia" w:ascii="仿宋" w:hAnsi="仿宋" w:eastAsia="仿宋" w:cs="仿宋"/>
          <w:lang w:val="en-US" w:eastAsia="zh-CN"/>
        </w:rPr>
        <w:t>3.2主要材料介绍</w:t>
      </w:r>
      <w:bookmarkEnd w:id="27"/>
    </w:p>
    <w:p w14:paraId="1C1483F9">
      <w:pPr>
        <w:pageBreakBefore w:val="0"/>
        <w:widowControl w:val="0"/>
        <w:kinsoku/>
        <w:wordWrap/>
        <w:overflowPunct/>
        <w:topLinePunct w:val="0"/>
        <w:autoSpaceDE/>
        <w:autoSpaceDN/>
        <w:bidi w:val="0"/>
        <w:adjustRightInd/>
        <w:snapToGrid/>
        <w:spacing w:line="520" w:lineRule="exact"/>
        <w:ind w:firstLine="48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5.2.1不锈钢防水</w:t>
      </w:r>
      <w:r>
        <w:rPr>
          <w:rFonts w:hint="eastAsia" w:ascii="仿宋" w:hAnsi="仿宋" w:eastAsia="仿宋" w:cs="仿宋"/>
          <w:b/>
          <w:bCs/>
          <w:sz w:val="28"/>
          <w:szCs w:val="28"/>
        </w:rPr>
        <w:t>卷材</w:t>
      </w:r>
    </w:p>
    <w:p w14:paraId="5B149F8C">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不锈钢防水卷材，具备抗拉强度高，耐水压，抗穿刺性能好、耐疲劳、尺寸稳定性好、超强耐老化性能等特点，对基层收缩变形和开裂的适应能力强；耐化学腐蚀、耐霉菌、耐候性好。优良的耐高温低温性能，冷热地区均适用，适用于任何材料的基面。施工性能好，丁基粘接，一年四季均可施工，且专用不锈钢胶带接缝可靠耐久可采用自粘法施工。</w:t>
      </w:r>
    </w:p>
    <w:p w14:paraId="0CC9A739">
      <w:pPr>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5.2.2</w:t>
      </w:r>
      <w:r>
        <w:rPr>
          <w:rFonts w:hint="eastAsia" w:ascii="仿宋" w:hAnsi="仿宋" w:eastAsia="仿宋" w:cs="仿宋"/>
          <w:b/>
          <w:bCs/>
          <w:sz w:val="28"/>
          <w:szCs w:val="28"/>
        </w:rPr>
        <w:t>特点介绍：</w:t>
      </w:r>
    </w:p>
    <w:p w14:paraId="671272E6">
      <w:pPr>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良好的环境适应性：同时满足低温-30℃，高温可达到90℃以上，大大的满足了寒冷炎热地区的使用需求。</w:t>
      </w:r>
    </w:p>
    <w:p w14:paraId="5D10B70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超强的粘结性：可与各种基层紧密粘接，与混凝土剥离强度可达5.0MPa以上，与铝板的剥离强度可达6.0MPa以上。</w:t>
      </w:r>
    </w:p>
    <w:p w14:paraId="7F62F7F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低温施工：突破了传统自粘卷材5℃以下不宜施工的缺陷，在-15℃环境下仍可保证卷材粘接强</w:t>
      </w:r>
    </w:p>
    <w:p w14:paraId="3BA49939">
      <w:pPr>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5.2.3</w:t>
      </w:r>
      <w:r>
        <w:rPr>
          <w:rFonts w:hint="eastAsia" w:ascii="仿宋" w:hAnsi="仿宋" w:eastAsia="仿宋" w:cs="仿宋"/>
          <w:b/>
          <w:bCs/>
          <w:sz w:val="28"/>
          <w:szCs w:val="28"/>
          <w:lang w:eastAsia="zh-CN"/>
        </w:rPr>
        <w:t>产品性能∶</w:t>
      </w:r>
    </w:p>
    <w:p w14:paraId="40072FED">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●节能、环保、隔热、耐久：节能——冷屋面：反射太阳指数，降低屋面温度，降低能耗，</w:t>
      </w:r>
    </w:p>
    <w:p w14:paraId="278DB5B3">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环保——不锈钢无释出物，雨水冲刷符合饮用水标准</w:t>
      </w:r>
    </w:p>
    <w:p w14:paraId="16D70A8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隔热——橡胶阻隔热能传导，有效隔热 ，耐久——不锈钢不老化，使用寿命≥30年</w:t>
      </w:r>
    </w:p>
    <w:p w14:paraId="26972636">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●润抗菌、抗风、防火、耐根穿刺：抗菌——能抗98%的大肠杆菌</w:t>
      </w:r>
    </w:p>
    <w:p w14:paraId="06F7DD06">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抗风——采用整幅铺贴，满贴设计，无缝隙，抗风</w:t>
      </w:r>
    </w:p>
    <w:p w14:paraId="6F811F43">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防火——纯金属包裹，防火等级A级 ，耐根穿刺——纯金属，无孔洞，防根穿刺</w:t>
      </w:r>
    </w:p>
    <w:p w14:paraId="07464147">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●一体化屋顶；屋面、天沟、女儿墙体一体化全方位包覆保护</w:t>
      </w:r>
    </w:p>
    <w:p w14:paraId="619BF2C1">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●增值，性价比高：让屋面变的可以利用，增加使用面积</w:t>
      </w:r>
    </w:p>
    <w:p w14:paraId="3927BD55">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●使用寿命长，且能增值屋顶，年投入成本最低，综合性价比高</w:t>
      </w:r>
    </w:p>
    <w:p w14:paraId="734EB445">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●美丽屋顶：屋顶漂亮，形象好。易清理。老天看得见，好运自然来！</w:t>
      </w:r>
    </w:p>
    <w:p w14:paraId="2FCC2496">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p>
    <w:p w14:paraId="057EE3CE">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5.2.5树脂丙烯酸面漆是一种常见的工业及建筑用涂料，具有以下显著特点：</w:t>
      </w:r>
    </w:p>
    <w:p w14:paraId="1ECAEEF9">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优异的耐候性</w:t>
      </w:r>
    </w:p>
    <w:p w14:paraId="1E318C0E">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抗紫外线：丙烯酸树脂稳定性高，长期暴露在阳光下不易黄变、粉化，适合户外使用（如汽车、建筑外墙等）。</w:t>
      </w:r>
    </w:p>
    <w:p w14:paraId="679838B0">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耐温变：适应高温和低温交替环境，涂层不易开裂或脱落。</w:t>
      </w:r>
    </w:p>
    <w:p w14:paraId="539111EF">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●良好的附着力</w:t>
      </w:r>
    </w:p>
    <w:p w14:paraId="491629E4">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对多种基材（金属、混凝土、木材、塑料等）粘附力强，尤其适合作为面漆与底漆配套使用。</w:t>
      </w:r>
    </w:p>
    <w:p w14:paraId="6D88D429">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●高装饰性</w:t>
      </w:r>
    </w:p>
    <w:p w14:paraId="016257DA">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色彩丰富：可调配多种颜色，保色性好，光泽度可选（高光、哑光等）。</w:t>
      </w:r>
    </w:p>
    <w:p w14:paraId="3F3FA3C3">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表面平整：流平性好，涂膜光滑细腻。</w:t>
      </w:r>
    </w:p>
    <w:p w14:paraId="5987FDC1">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●快速干燥</w:t>
      </w:r>
    </w:p>
    <w:p w14:paraId="01C2A376">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溶剂型丙烯酸漆常温下干燥快（通常表干30分钟~2小时），水性丙烯酸漆干燥稍慢但环保性更优。</w:t>
      </w:r>
    </w:p>
    <w:p w14:paraId="44B2CFA6">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●耐化学性与防腐蚀</w:t>
      </w:r>
    </w:p>
    <w:p w14:paraId="5AECB2E7">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耐弱酸、弱碱、油脂和水分，部分配方可通过改性提升耐化学性（如添加环氧树脂）。</w:t>
      </w:r>
    </w:p>
    <w:p w14:paraId="7752354C">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对金属基材提供防锈保护，常用于汽车、机械设备等。</w:t>
      </w:r>
    </w:p>
    <w:p w14:paraId="18CB09F5">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●环保与安全</w:t>
      </w:r>
    </w:p>
    <w:p w14:paraId="7B6F52E8">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水性丙烯酸：低VOC（挥发性有机物），无毒无味，适合室内及环保要求高的场景。</w:t>
      </w:r>
    </w:p>
    <w:p w14:paraId="6B4795E4">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p>
    <w:p w14:paraId="66E228E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溶剂型丙烯酸：需通风施工，但性能更硬、耐候性更强。</w:t>
      </w:r>
    </w:p>
    <w:p w14:paraId="72A5EFCF">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●施工便捷</w:t>
      </w:r>
    </w:p>
    <w:p w14:paraId="711DB108">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可喷涂、刷涂或滚涂，与多种底漆（如环氧底漆、聚氨酯底漆）兼容性好。</w:t>
      </w:r>
    </w:p>
    <w:p w14:paraId="3D4DD145">
      <w:pPr>
        <w:pStyle w:val="2"/>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rPr>
      </w:pPr>
      <w:bookmarkStart w:id="28" w:name="_Toc914"/>
      <w:r>
        <w:rPr>
          <w:rFonts w:hint="eastAsia" w:ascii="仿宋" w:hAnsi="仿宋" w:eastAsia="仿宋" w:cs="仿宋"/>
          <w:lang w:val="en-US" w:eastAsia="zh-CN"/>
        </w:rPr>
        <w:t>四</w:t>
      </w:r>
      <w:r>
        <w:rPr>
          <w:rFonts w:hint="eastAsia" w:ascii="仿宋" w:hAnsi="仿宋" w:eastAsia="仿宋" w:cs="仿宋"/>
          <w:lang w:eastAsia="zh-CN"/>
        </w:rPr>
        <w:t>、</w:t>
      </w:r>
      <w:r>
        <w:rPr>
          <w:rFonts w:hint="eastAsia" w:ascii="仿宋" w:hAnsi="仿宋" w:eastAsia="仿宋" w:cs="仿宋"/>
        </w:rPr>
        <w:t xml:space="preserve"> 施工规范及验收检验</w:t>
      </w:r>
      <w:bookmarkEnd w:id="28"/>
    </w:p>
    <w:p w14:paraId="41E4D533">
      <w:pPr>
        <w:pStyle w:val="3"/>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rPr>
      </w:pPr>
      <w:bookmarkStart w:id="29" w:name="_Toc24603"/>
      <w:r>
        <w:rPr>
          <w:rFonts w:hint="eastAsia" w:ascii="仿宋" w:hAnsi="仿宋" w:eastAsia="仿宋" w:cs="仿宋"/>
          <w:lang w:val="en-US" w:eastAsia="zh-CN"/>
        </w:rPr>
        <w:t>4.1</w:t>
      </w:r>
      <w:r>
        <w:rPr>
          <w:rFonts w:hint="eastAsia" w:ascii="仿宋" w:hAnsi="仿宋" w:eastAsia="仿宋" w:cs="仿宋"/>
        </w:rPr>
        <w:t>材料</w:t>
      </w:r>
      <w:bookmarkEnd w:id="29"/>
    </w:p>
    <w:p w14:paraId="32418532">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工程中所用的材料，必须有产品合格证及检测报告，严格按要求选材，并且所选用的材料必须达到标准。</w:t>
      </w:r>
    </w:p>
    <w:p w14:paraId="65161506">
      <w:pPr>
        <w:pStyle w:val="3"/>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lang w:val="en-US" w:eastAsia="zh-CN"/>
        </w:rPr>
      </w:pPr>
      <w:bookmarkStart w:id="30" w:name="_Toc4861"/>
      <w:r>
        <w:rPr>
          <w:rFonts w:hint="eastAsia" w:ascii="仿宋" w:hAnsi="仿宋" w:eastAsia="仿宋" w:cs="仿宋"/>
          <w:lang w:val="en-US" w:eastAsia="zh-CN"/>
        </w:rPr>
        <w:t>4.2施工</w:t>
      </w:r>
      <w:bookmarkEnd w:id="30"/>
    </w:p>
    <w:p w14:paraId="226B747C">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1、应符合相关规范规定。</w:t>
      </w:r>
    </w:p>
    <w:p w14:paraId="34838112">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1、卷材在转角处、变形缝、施工缝、穿墙管等部位做法必须符合设计要求。</w:t>
      </w:r>
    </w:p>
    <w:p w14:paraId="7FF58EB4">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2、卷材的搭接缝应粘贴或焊接牢固，密封严密，不得有扭曲、褶皱、翘边和起泡等缺陷。</w:t>
      </w:r>
    </w:p>
    <w:p w14:paraId="4B102CC3">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3、侧墙卷材的保护层应结合紧密，保护层厚度应符合设计要求。</w:t>
      </w:r>
    </w:p>
    <w:p w14:paraId="0D9EAA28">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4、加强层宽度应达到300-500mm。</w:t>
      </w:r>
    </w:p>
    <w:p w14:paraId="40C260B0">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5、卷材搭接宽度的允许偏差应为-10mm。</w:t>
      </w:r>
    </w:p>
    <w:bookmarkEnd w:id="13"/>
    <w:bookmarkEnd w:id="14"/>
    <w:bookmarkEnd w:id="15"/>
    <w:p w14:paraId="71440A02">
      <w:pPr>
        <w:pStyle w:val="2"/>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rPr>
      </w:pPr>
      <w:bookmarkStart w:id="31" w:name="_Toc30204"/>
      <w:bookmarkStart w:id="32" w:name="_Toc21166"/>
      <w:bookmarkStart w:id="33" w:name="_Toc14357"/>
      <w:bookmarkStart w:id="34" w:name="_Toc17983"/>
      <w:r>
        <w:rPr>
          <w:rFonts w:hint="eastAsia" w:ascii="仿宋" w:hAnsi="仿宋" w:eastAsia="仿宋" w:cs="仿宋"/>
          <w:lang w:val="en-US" w:eastAsia="zh-CN"/>
        </w:rPr>
        <w:t xml:space="preserve">五、  </w:t>
      </w:r>
      <w:r>
        <w:rPr>
          <w:rFonts w:hint="eastAsia" w:ascii="仿宋" w:hAnsi="仿宋" w:eastAsia="仿宋" w:cs="仿宋"/>
        </w:rPr>
        <w:t>成品保护</w:t>
      </w:r>
      <w:bookmarkEnd w:id="31"/>
      <w:bookmarkEnd w:id="32"/>
      <w:bookmarkEnd w:id="33"/>
      <w:bookmarkEnd w:id="34"/>
    </w:p>
    <w:p w14:paraId="6DDD0044">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1、在防水层施工中，严禁穿带铁钉、铁掌的鞋进入现场，以免扎伤防水层。防水施工人员、物料进入，必须遵守轻拿轻放的原则，严禁尖锐物体撞击扎伤卷材防水层。</w:t>
      </w:r>
    </w:p>
    <w:p w14:paraId="33BB9BE1">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2、防水层施工完毕后，不能在防水层上开洞或钻孔安装机器设备。如不得已必须在防水层上开洞、钻孔的，应先做好记录，并安排修补。在施工过程中，如发现防水层遭到破损，应尽快组织维修。</w:t>
      </w:r>
    </w:p>
    <w:p w14:paraId="7411F7E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3、防水层整个施工期间，防水施工单位应派专人进行全程监督，若发现有破坏防水层的操作应及时制止，同时，对被破坏的防水层进行及时、有效的修复。</w:t>
      </w:r>
      <w:bookmarkStart w:id="35" w:name="_Toc25414"/>
      <w:bookmarkStart w:id="36" w:name="_Toc9426"/>
      <w:bookmarkStart w:id="37" w:name="_Toc1440"/>
    </w:p>
    <w:p w14:paraId="66699C28">
      <w:pPr>
        <w:pStyle w:val="2"/>
        <w:pageBreakBefore w:val="0"/>
        <w:widowControl w:val="0"/>
        <w:kinsoku/>
        <w:wordWrap/>
        <w:overflowPunct/>
        <w:topLinePunct w:val="0"/>
        <w:autoSpaceDE/>
        <w:autoSpaceDN/>
        <w:bidi w:val="0"/>
        <w:adjustRightInd/>
        <w:snapToGrid/>
        <w:spacing w:before="0" w:after="0" w:line="520" w:lineRule="exact"/>
        <w:textAlignment w:val="auto"/>
        <w:rPr>
          <w:rFonts w:hint="eastAsia" w:ascii="仿宋" w:hAnsi="仿宋" w:eastAsia="仿宋" w:cs="仿宋"/>
        </w:rPr>
      </w:pPr>
      <w:bookmarkStart w:id="38" w:name="_Toc2568"/>
      <w:r>
        <w:rPr>
          <w:rFonts w:hint="eastAsia" w:ascii="仿宋" w:hAnsi="仿宋" w:eastAsia="仿宋" w:cs="仿宋"/>
          <w:lang w:val="en-US" w:eastAsia="zh-CN"/>
        </w:rPr>
        <w:t xml:space="preserve">六、  </w:t>
      </w:r>
      <w:r>
        <w:rPr>
          <w:rFonts w:hint="eastAsia" w:ascii="仿宋" w:hAnsi="仿宋" w:eastAsia="仿宋" w:cs="仿宋"/>
        </w:rPr>
        <w:t>安全施工技术</w:t>
      </w:r>
      <w:bookmarkEnd w:id="35"/>
      <w:bookmarkEnd w:id="36"/>
      <w:bookmarkEnd w:id="37"/>
      <w:bookmarkEnd w:id="38"/>
    </w:p>
    <w:p w14:paraId="09C3486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1、施工人员必须经过培训后方可上岗，并应全面地掌握应知应会的施工安全技术和质量标准，强化安全与质量意识。</w:t>
      </w:r>
    </w:p>
    <w:p w14:paraId="6ED2A842">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2、施工人员应身着工作服，戴好防护用具、安全带、安全帽、防护眼镜和防护手套，现场人员必须穿平底鞋。</w:t>
      </w:r>
    </w:p>
    <w:p w14:paraId="4DACE3C3">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3、施工现场及作业面，应备有灭火器材和其它相应的防火措施，地下施工时要注意通风、防毒、防爆。</w:t>
      </w:r>
    </w:p>
    <w:p w14:paraId="7C0D57FF">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4、施工现场及作业面的周围，不准存放易燃易爆物品。</w:t>
      </w:r>
    </w:p>
    <w:p w14:paraId="3D4049DB">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5、遇五级以上大风时严禁施工。</w:t>
      </w:r>
    </w:p>
    <w:p w14:paraId="1A032B9E">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6、有关安全的未尽事宜，如高空作业、垂直运输、卫生防护、杜绝高空坠落等均按国家和地方有关规定执行。</w:t>
      </w:r>
    </w:p>
    <w:p w14:paraId="1ADAEEFA">
      <w:pPr>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7、冬季施工预热法施工时应注意防护，防止被喷枪烫伤，施工人员需进行保暖措施，穿戴劳保用品、防滑鞋、安全带防止因冬季不利因素造成人身伤害。</w:t>
      </w:r>
    </w:p>
    <w:p w14:paraId="6E5345B3">
      <w:pPr>
        <w:pStyle w:val="2"/>
        <w:bidi w:val="0"/>
        <w:rPr>
          <w:rFonts w:hint="eastAsia" w:ascii="仿宋" w:hAnsi="仿宋" w:eastAsia="仿宋" w:cs="仿宋"/>
          <w:lang w:val="en-US" w:eastAsia="zh-CN"/>
        </w:rPr>
      </w:pPr>
      <w:bookmarkStart w:id="39" w:name="_Toc8489"/>
      <w:r>
        <w:rPr>
          <w:rFonts w:hint="eastAsia" w:ascii="仿宋" w:hAnsi="仿宋" w:eastAsia="仿宋" w:cs="仿宋"/>
          <w:lang w:val="en-US" w:eastAsia="zh-CN"/>
        </w:rPr>
        <w:t>七、防水工程报价表</w:t>
      </w:r>
      <w:bookmarkEnd w:id="39"/>
    </w:p>
    <w:tbl>
      <w:tblPr>
        <w:tblStyle w:val="16"/>
        <w:tblW w:w="98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6"/>
        <w:gridCol w:w="1110"/>
        <w:gridCol w:w="1350"/>
        <w:gridCol w:w="2272"/>
        <w:gridCol w:w="2401"/>
      </w:tblGrid>
      <w:tr w14:paraId="5E9D5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869"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154E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工程报价表</w:t>
            </w:r>
          </w:p>
        </w:tc>
      </w:tr>
      <w:tr w14:paraId="453F8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9869"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38D4C15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b/>
                <w:bCs/>
                <w:i w:val="0"/>
                <w:iCs w:val="0"/>
                <w:color w:val="000000"/>
                <w:sz w:val="28"/>
                <w:szCs w:val="28"/>
                <w:u w:val="none"/>
                <w:lang w:val="en-US"/>
              </w:rPr>
            </w:pPr>
            <w:r>
              <w:rPr>
                <w:rFonts w:hint="eastAsia" w:ascii="仿宋" w:hAnsi="仿宋" w:eastAsia="仿宋" w:cs="仿宋"/>
                <w:b/>
                <w:bCs/>
                <w:i w:val="0"/>
                <w:iCs w:val="0"/>
                <w:color w:val="000000"/>
                <w:kern w:val="0"/>
                <w:sz w:val="28"/>
                <w:szCs w:val="28"/>
                <w:u w:val="none"/>
                <w:lang w:val="en-US" w:eastAsia="zh-CN" w:bidi="ar"/>
              </w:rPr>
              <w:t>工程名称：海洋路校区体育馆彩钢瓦屋面维修维补</w:t>
            </w:r>
          </w:p>
        </w:tc>
      </w:tr>
      <w:tr w14:paraId="4DC8B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4856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工程或费用名称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0F9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单 位</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1D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  量</w:t>
            </w: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81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单价</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1C6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 计(元)</w:t>
            </w:r>
          </w:p>
        </w:tc>
      </w:tr>
      <w:tr w14:paraId="40E56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8FDE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  一、主材费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D38D">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914B5">
            <w:pPr>
              <w:keepNext w:val="0"/>
              <w:keepLines w:val="0"/>
              <w:pageBreakBefore w:val="0"/>
              <w:widowControl/>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EEE12">
            <w:pPr>
              <w:keepNext w:val="0"/>
              <w:keepLines w:val="0"/>
              <w:pageBreakBefore w:val="0"/>
              <w:widowControl/>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37B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0E106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7"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F3AF9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2mm厚非固化橡胶沥青防水涂料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454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kg</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6DF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C07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493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r>
      <w:tr w14:paraId="69665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7249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3.0mm厚不锈钢箔防水卷材</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77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2"/>
                <w:sz w:val="28"/>
                <w:szCs w:val="28"/>
                <w:u w:val="none"/>
                <w:lang w:val="en-US" w:eastAsia="zh-CN" w:bidi="ar-SA"/>
              </w:rPr>
              <w:t>m</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1F3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100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5C8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ECF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p>
        </w:tc>
      </w:tr>
      <w:tr w14:paraId="330CD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09A28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65mm厚 0.5mm宽不锈钢密封胶带</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07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m</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DA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2F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36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646B3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A602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树脂丙烯酸面漆</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0FAAD">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6F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D00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F0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0DA65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E3F2A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树脂铁红底漆</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E4466">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F4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72B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91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264F6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EC85B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耐候结构密封胶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F505">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支</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40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5F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A1A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4AB5A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95D9F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DBF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C3E8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3993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C69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r>
      <w:tr w14:paraId="51FAB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5CDFD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  二、辅材费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C81E">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E03B2">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609F8">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011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5EAB8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DE5C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收口压条及密封膏</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D1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5E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300.00 </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B4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A3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r>
      <w:tr w14:paraId="50AD1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4A77B5">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A65E7">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1B947">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0C5C2">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3568">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r>
      <w:tr w14:paraId="0BC40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EA3FB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三、综合人工费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EEA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0FC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2000.00 </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88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B8F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1D8E1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nil"/>
              <w:right w:val="single" w:color="000000" w:sz="4" w:space="0"/>
            </w:tcBorders>
            <w:shd w:val="clear" w:color="auto" w:fill="auto"/>
            <w:noWrap/>
            <w:vAlign w:val="center"/>
          </w:tcPr>
          <w:p w14:paraId="0E94F7C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四、税后总价</w:t>
            </w:r>
          </w:p>
        </w:tc>
        <w:tc>
          <w:tcPr>
            <w:tcW w:w="4732" w:type="dxa"/>
            <w:gridSpan w:val="3"/>
            <w:tcBorders>
              <w:top w:val="single" w:color="000000" w:sz="4" w:space="0"/>
              <w:left w:val="single" w:color="000000" w:sz="4" w:space="0"/>
              <w:bottom w:val="nil"/>
              <w:right w:val="single" w:color="000000" w:sz="4" w:space="0"/>
            </w:tcBorders>
            <w:shd w:val="clear" w:color="auto" w:fill="auto"/>
            <w:noWrap/>
            <w:vAlign w:val="center"/>
          </w:tcPr>
          <w:p w14:paraId="36B93C9C">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nil"/>
              <w:right w:val="single" w:color="000000" w:sz="4" w:space="0"/>
            </w:tcBorders>
            <w:shd w:val="clear" w:color="auto" w:fill="auto"/>
            <w:noWrap/>
            <w:vAlign w:val="center"/>
          </w:tcPr>
          <w:p w14:paraId="056BF0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1D7DC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4DCE68B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说明：</w:t>
            </w: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noWrap/>
            <w:vAlign w:val="center"/>
          </w:tcPr>
          <w:p w14:paraId="79EE03D4">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1、材料品牌：非固化（北新、雨虹等一线品牌），不锈钢卷材（希瑞思），彩钢瓦翻新（启恩源）。</w:t>
            </w:r>
          </w:p>
        </w:tc>
      </w:tr>
      <w:tr w14:paraId="6CC79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4EB3090D">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noWrap/>
            <w:vAlign w:val="center"/>
          </w:tcPr>
          <w:p w14:paraId="49D10DB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2、人工费包括基层清理及垃圾清运等费用</w:t>
            </w:r>
          </w:p>
        </w:tc>
      </w:tr>
      <w:tr w14:paraId="5372E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53ADA50D">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350A30C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3、工程量计算规则:按防水层实际施工展开面积计算</w:t>
            </w:r>
          </w:p>
        </w:tc>
      </w:tr>
      <w:tr w14:paraId="06B10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2EB99CA5">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0FF7B8F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4、支付约定：合同签订后预付合同额的10%预付款，施工闭水3天不漏水后支付至实际合同的90%，剩余10%作为质保金一年后支付完成。</w:t>
            </w:r>
          </w:p>
        </w:tc>
      </w:tr>
    </w:tbl>
    <w:p w14:paraId="1C2FFA30">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p>
    <w:p w14:paraId="53BFBEA7">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二、资质要求</w:t>
      </w:r>
    </w:p>
    <w:p w14:paraId="08397661">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0D6475D">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p>
    <w:p w14:paraId="4A2BC54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2B90DDCD">
      <w:pPr>
        <w:pStyle w:val="15"/>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4.投标供应商须具备相应资质</w:t>
      </w:r>
      <w:r>
        <w:rPr>
          <w:rFonts w:hint="eastAsia" w:ascii="仿宋_GB2312" w:eastAsia="仿宋_GB2312" w:cs="仿宋_GB2312"/>
          <w:color w:val="000000"/>
          <w:kern w:val="2"/>
          <w:sz w:val="28"/>
          <w:szCs w:val="28"/>
          <w:lang w:val="en-US" w:eastAsia="zh-CN" w:bidi="ar-SA"/>
        </w:rPr>
        <w:t>。</w:t>
      </w:r>
    </w:p>
    <w:p w14:paraId="4D88363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057C531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三、工期和供期：</w:t>
      </w:r>
    </w:p>
    <w:p w14:paraId="23DB9351">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建设地点：江苏省盐城技师学院</w:t>
      </w:r>
      <w:r>
        <w:rPr>
          <w:rFonts w:hint="eastAsia" w:ascii="仿宋_GB2312" w:eastAsia="仿宋_GB2312" w:cs="仿宋_GB2312"/>
          <w:color w:val="000000"/>
          <w:sz w:val="28"/>
          <w:szCs w:val="28"/>
          <w:lang w:val="en-US" w:eastAsia="zh-CN"/>
        </w:rPr>
        <w:t>海洋路</w:t>
      </w:r>
      <w:r>
        <w:rPr>
          <w:rFonts w:hint="eastAsia" w:ascii="仿宋_GB2312" w:eastAsia="仿宋_GB2312" w:cs="仿宋_GB2312"/>
          <w:color w:val="000000"/>
          <w:sz w:val="28"/>
          <w:szCs w:val="28"/>
          <w:lang w:eastAsia="zh-CN"/>
        </w:rPr>
        <w:t>校区</w:t>
      </w:r>
      <w:r>
        <w:rPr>
          <w:rFonts w:hint="eastAsia" w:ascii="仿宋_GB2312" w:eastAsia="仿宋_GB2312" w:cs="仿宋_GB2312"/>
          <w:color w:val="000000"/>
          <w:sz w:val="28"/>
          <w:szCs w:val="28"/>
          <w:lang w:val="en-US" w:eastAsia="zh-CN"/>
        </w:rPr>
        <w:t>内</w:t>
      </w:r>
      <w:r>
        <w:rPr>
          <w:rFonts w:hint="eastAsia" w:ascii="仿宋_GB2312" w:eastAsia="仿宋_GB2312" w:cs="仿宋_GB2312"/>
          <w:color w:val="000000"/>
          <w:sz w:val="28"/>
          <w:szCs w:val="28"/>
        </w:rPr>
        <w:t>。</w:t>
      </w:r>
    </w:p>
    <w:p w14:paraId="0A6EF016">
      <w:pPr>
        <w:snapToGrid w:val="0"/>
        <w:spacing w:line="460" w:lineRule="exact"/>
        <w:ind w:firstLine="560" w:firstLineChars="200"/>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工期要求：</w:t>
      </w:r>
      <w:r>
        <w:rPr>
          <w:rFonts w:hint="eastAsia" w:ascii="仿宋_GB2312" w:eastAsia="仿宋_GB2312" w:cs="仿宋_GB2312"/>
          <w:color w:val="000000"/>
          <w:sz w:val="28"/>
          <w:szCs w:val="28"/>
          <w:lang w:val="en-US" w:eastAsia="zh-CN"/>
        </w:rPr>
        <w:t>30个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r>
        <w:rPr>
          <w:rFonts w:hint="eastAsia" w:ascii="仿宋_GB2312" w:eastAsia="仿宋_GB2312" w:cs="仿宋_GB2312"/>
          <w:color w:val="000000"/>
          <w:sz w:val="28"/>
          <w:szCs w:val="28"/>
          <w:lang w:val="en-US" w:eastAsia="zh-CN"/>
        </w:rPr>
        <w:t>。</w:t>
      </w:r>
    </w:p>
    <w:p w14:paraId="1D31C01F">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3.质量标准：国家标准</w:t>
      </w:r>
      <w:r>
        <w:rPr>
          <w:rFonts w:hint="eastAsia" w:ascii="仿宋_GB2312" w:eastAsia="仿宋_GB2312" w:cs="仿宋_GB2312"/>
          <w:color w:val="000000"/>
          <w:sz w:val="28"/>
          <w:szCs w:val="28"/>
        </w:rPr>
        <w:t>。</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4"/>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6</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10</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6</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12</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6</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14</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15</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15</w:t>
      </w:r>
      <w:bookmarkStart w:id="40" w:name="_GoBack"/>
      <w:bookmarkEnd w:id="40"/>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4"/>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54490B2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A6DBE9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356BFA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5A8308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6A52F7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0C3E99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7E479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1A8639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A7519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7E8BD8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177046C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tbl>
      <w:tblPr>
        <w:tblStyle w:val="16"/>
        <w:tblW w:w="98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6"/>
        <w:gridCol w:w="1110"/>
        <w:gridCol w:w="1350"/>
        <w:gridCol w:w="2272"/>
        <w:gridCol w:w="2401"/>
      </w:tblGrid>
      <w:tr w14:paraId="6FC5B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869"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9000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工程报价表</w:t>
            </w:r>
          </w:p>
        </w:tc>
      </w:tr>
      <w:tr w14:paraId="23906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9869"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60195F5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b/>
                <w:bCs/>
                <w:i w:val="0"/>
                <w:iCs w:val="0"/>
                <w:color w:val="000000"/>
                <w:sz w:val="28"/>
                <w:szCs w:val="28"/>
                <w:u w:val="none"/>
                <w:lang w:val="en-US"/>
              </w:rPr>
            </w:pPr>
            <w:r>
              <w:rPr>
                <w:rFonts w:hint="eastAsia" w:ascii="仿宋" w:hAnsi="仿宋" w:eastAsia="仿宋" w:cs="仿宋"/>
                <w:b/>
                <w:bCs/>
                <w:i w:val="0"/>
                <w:iCs w:val="0"/>
                <w:color w:val="000000"/>
                <w:kern w:val="0"/>
                <w:sz w:val="28"/>
                <w:szCs w:val="28"/>
                <w:u w:val="none"/>
                <w:lang w:val="en-US" w:eastAsia="zh-CN" w:bidi="ar"/>
              </w:rPr>
              <w:t>工程名称：海洋路校区体育馆彩钢瓦屋面维修维补</w:t>
            </w:r>
          </w:p>
        </w:tc>
      </w:tr>
      <w:tr w14:paraId="375CF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C2B2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工程或费用名称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A7B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单 位</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4B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  量</w:t>
            </w: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A6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单价</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D5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 计(元)</w:t>
            </w:r>
          </w:p>
        </w:tc>
      </w:tr>
      <w:tr w14:paraId="6655A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E2E75C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  一、主材费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D285">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CEC1">
            <w:pPr>
              <w:keepNext w:val="0"/>
              <w:keepLines w:val="0"/>
              <w:pageBreakBefore w:val="0"/>
              <w:widowControl/>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5BA5E">
            <w:pPr>
              <w:keepNext w:val="0"/>
              <w:keepLines w:val="0"/>
              <w:pageBreakBefore w:val="0"/>
              <w:widowControl/>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2C0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67CFA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7"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D36F7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2mm厚非固化橡胶沥青防水涂料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09F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kg</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44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E07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283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r>
      <w:tr w14:paraId="13B81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2FEAA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3.0mm厚不锈钢箔防水卷材</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1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2"/>
                <w:sz w:val="28"/>
                <w:szCs w:val="28"/>
                <w:u w:val="none"/>
                <w:lang w:val="en-US" w:eastAsia="zh-CN" w:bidi="ar-SA"/>
              </w:rPr>
              <w:t>m</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57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100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67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749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2"/>
                <w:sz w:val="28"/>
                <w:szCs w:val="28"/>
                <w:u w:val="none"/>
                <w:lang w:val="en-US" w:eastAsia="zh-CN" w:bidi="ar-SA"/>
              </w:rPr>
            </w:pPr>
          </w:p>
        </w:tc>
      </w:tr>
      <w:tr w14:paraId="473FF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2DCBD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65mm厚 0.5mm宽不锈钢密封胶带</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C72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m</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99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2E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E33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0115B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82B3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树脂丙烯酸面漆</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AF89">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2DE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99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23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3A538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BEAA0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树脂铁红底漆</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33953">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15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1600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301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A0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561F4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FE295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耐候结构密封胶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56CB">
            <w:pPr>
              <w:keepNext w:val="0"/>
              <w:keepLines w:val="0"/>
              <w:pageBreakBefore w:val="0"/>
              <w:widowControl/>
              <w:suppressLineNumbers w:val="0"/>
              <w:kinsoku/>
              <w:wordWrap/>
              <w:overflowPunct/>
              <w:topLinePunct w:val="0"/>
              <w:autoSpaceDE/>
              <w:autoSpaceDN/>
              <w:bidi w:val="0"/>
              <w:adjustRightInd/>
              <w:snapToGrid/>
              <w:spacing w:line="280" w:lineRule="exact"/>
              <w:ind w:firstLine="280" w:firstLineChars="10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支</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E44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50</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EE8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29A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kern w:val="0"/>
                <w:sz w:val="28"/>
                <w:szCs w:val="28"/>
                <w:u w:val="none"/>
                <w:lang w:val="en-US" w:eastAsia="zh-CN" w:bidi="ar"/>
              </w:rPr>
            </w:pPr>
          </w:p>
        </w:tc>
      </w:tr>
      <w:tr w14:paraId="1F45B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F301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331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46B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C605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0EF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kern w:val="0"/>
                <w:sz w:val="28"/>
                <w:szCs w:val="28"/>
                <w:u w:val="none"/>
                <w:lang w:val="en-US" w:eastAsia="zh-CN" w:bidi="ar"/>
              </w:rPr>
            </w:pPr>
          </w:p>
        </w:tc>
      </w:tr>
      <w:tr w14:paraId="0A451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8C020E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  二、辅材费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D1241">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3B269">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3049F">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E09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4E3FA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A336E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收口压条及密封膏</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E20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C9C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300.00 </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21F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DA5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r>
      <w:tr w14:paraId="31327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5716F8">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515DB">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2E627">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EDD14">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3962D">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r>
      <w:tr w14:paraId="5A8F6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A1D4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三、综合人工费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76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8E3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2000.00 </w:t>
            </w:r>
          </w:p>
        </w:tc>
        <w:tc>
          <w:tcPr>
            <w:tcW w:w="2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40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E30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3732E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4" w:space="0"/>
              <w:left w:val="single" w:color="000000" w:sz="8" w:space="0"/>
              <w:bottom w:val="nil"/>
              <w:right w:val="single" w:color="000000" w:sz="4" w:space="0"/>
            </w:tcBorders>
            <w:shd w:val="clear" w:color="auto" w:fill="auto"/>
            <w:noWrap/>
            <w:vAlign w:val="center"/>
          </w:tcPr>
          <w:p w14:paraId="17AA7C4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四、税后总价</w:t>
            </w:r>
          </w:p>
        </w:tc>
        <w:tc>
          <w:tcPr>
            <w:tcW w:w="4732" w:type="dxa"/>
            <w:gridSpan w:val="3"/>
            <w:tcBorders>
              <w:top w:val="single" w:color="000000" w:sz="4" w:space="0"/>
              <w:left w:val="single" w:color="000000" w:sz="4" w:space="0"/>
              <w:bottom w:val="nil"/>
              <w:right w:val="single" w:color="000000" w:sz="4" w:space="0"/>
            </w:tcBorders>
            <w:shd w:val="clear" w:color="auto" w:fill="auto"/>
            <w:noWrap/>
            <w:vAlign w:val="center"/>
          </w:tcPr>
          <w:p w14:paraId="020C5CEE">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iCs w:val="0"/>
                <w:color w:val="000000"/>
                <w:sz w:val="28"/>
                <w:szCs w:val="28"/>
                <w:u w:val="none"/>
              </w:rPr>
            </w:pPr>
          </w:p>
        </w:tc>
        <w:tc>
          <w:tcPr>
            <w:tcW w:w="2401" w:type="dxa"/>
            <w:tcBorders>
              <w:top w:val="single" w:color="000000" w:sz="4" w:space="0"/>
              <w:left w:val="single" w:color="000000" w:sz="4" w:space="0"/>
              <w:bottom w:val="nil"/>
              <w:right w:val="single" w:color="000000" w:sz="4" w:space="0"/>
            </w:tcBorders>
            <w:shd w:val="clear" w:color="auto" w:fill="auto"/>
            <w:noWrap/>
            <w:vAlign w:val="center"/>
          </w:tcPr>
          <w:p w14:paraId="535831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bCs/>
                <w:i w:val="0"/>
                <w:iCs w:val="0"/>
                <w:color w:val="000000"/>
                <w:sz w:val="28"/>
                <w:szCs w:val="28"/>
                <w:u w:val="none"/>
              </w:rPr>
            </w:pPr>
          </w:p>
        </w:tc>
      </w:tr>
      <w:tr w14:paraId="6FE14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18DE456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说明：</w:t>
            </w: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noWrap/>
            <w:vAlign w:val="center"/>
          </w:tcPr>
          <w:p w14:paraId="57C6FBF9">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1、材料品牌：非固化（北新、雨虹等一线品牌），不锈钢卷材（希瑞思），彩钢瓦翻新（启恩源）。</w:t>
            </w:r>
          </w:p>
        </w:tc>
      </w:tr>
      <w:tr w14:paraId="00EF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D12934">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38329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2、人工费包括基层清理及垃圾清运等费用</w:t>
            </w:r>
          </w:p>
        </w:tc>
      </w:tr>
      <w:tr w14:paraId="77D49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455428A6">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3FD0C3B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3、工程量计算规则:按防水层实际施工展开面积计算</w:t>
            </w:r>
          </w:p>
        </w:tc>
      </w:tr>
      <w:tr w14:paraId="60F3F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73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35366094">
            <w:pPr>
              <w:keepNext w:val="0"/>
              <w:keepLines w:val="0"/>
              <w:pageBreakBefore w:val="0"/>
              <w:kinsoku/>
              <w:wordWrap/>
              <w:overflowPunct/>
              <w:topLinePunct w:val="0"/>
              <w:autoSpaceDE/>
              <w:autoSpaceDN/>
              <w:bidi w:val="0"/>
              <w:adjustRightInd/>
              <w:snapToGrid/>
              <w:spacing w:line="280" w:lineRule="exact"/>
              <w:jc w:val="left"/>
              <w:rPr>
                <w:rFonts w:hint="eastAsia" w:ascii="仿宋" w:hAnsi="仿宋" w:eastAsia="仿宋" w:cs="仿宋"/>
                <w:i w:val="0"/>
                <w:iCs w:val="0"/>
                <w:color w:val="000000"/>
                <w:sz w:val="28"/>
                <w:szCs w:val="28"/>
                <w:u w:val="none"/>
              </w:rPr>
            </w:pPr>
          </w:p>
        </w:tc>
        <w:tc>
          <w:tcPr>
            <w:tcW w:w="7133"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51E718E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4、支付约定：合同签订后预付合同额的10%预付款，施工闭水3天不漏水后支付至实际合同的90%，剩余10%作为质保金一年后支付完成。</w:t>
            </w:r>
          </w:p>
        </w:tc>
      </w:tr>
    </w:tbl>
    <w:p w14:paraId="467792B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3DAFF33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D048BC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9B3DFB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27DCD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6"/>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14B2D5B7">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rPr>
                <w:sz w:val="28"/>
                <w:szCs w:val="28"/>
              </w:rPr>
            </w:pPr>
            <w:r>
              <w:rPr>
                <w:rFonts w:hint="eastAsia" w:ascii="仿宋_GB2312" w:eastAsia="仿宋_GB2312" w:cs="仿宋_GB2312"/>
                <w:color w:val="000000"/>
                <w:sz w:val="28"/>
                <w:szCs w:val="28"/>
                <w:lang w:val="en-US" w:eastAsia="zh-CN"/>
              </w:rPr>
              <w:t>海洋路校区体育馆彩钢瓦屋面维补</w:t>
            </w:r>
            <w:r>
              <w:rPr>
                <w:rFonts w:hint="eastAsia" w:ascii="仿宋_GB2312" w:eastAsia="仿宋_GB2312" w:cs="仿宋_GB2312"/>
                <w:color w:val="000000"/>
                <w:sz w:val="28"/>
                <w:szCs w:val="28"/>
                <w:lang w:eastAsia="zh-CN"/>
              </w:rPr>
              <w:t>项目</w:t>
            </w:r>
          </w:p>
        </w:tc>
        <w:tc>
          <w:tcPr>
            <w:tcW w:w="3414" w:type="dxa"/>
            <w:shd w:val="clear" w:color="auto" w:fill="auto"/>
            <w:vAlign w:val="center"/>
          </w:tcPr>
          <w:p w14:paraId="3BE7AD2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c>
          <w:tcPr>
            <w:tcW w:w="1338" w:type="dxa"/>
            <w:vMerge w:val="restart"/>
            <w:shd w:val="clear" w:color="auto" w:fill="auto"/>
            <w:vAlign w:val="center"/>
          </w:tcPr>
          <w:p w14:paraId="4A67D40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维修</w:t>
      </w:r>
      <w:r>
        <w:rPr>
          <w:rFonts w:hint="default" w:ascii="仿宋_GB2312" w:hAnsi="仿宋_GB2312" w:eastAsia="仿宋_GB2312" w:cs="仿宋_GB2312"/>
          <w:color w:val="000000"/>
          <w:kern w:val="2"/>
          <w:sz w:val="28"/>
          <w:szCs w:val="28"/>
          <w:lang w:val="en-US" w:eastAsia="zh-CN" w:bidi="ar-SA"/>
        </w:rPr>
        <w:t>费、人工、材料、机械等一切相关费用]所发生的人、材、机、管理、利润、税金等全部费用，表中的报价为总报价。</w:t>
      </w:r>
    </w:p>
    <w:p w14:paraId="4EE47A3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0C037F1B">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14:paraId="54DC5C50">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14:paraId="665935AE">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561"/>
        <w:jc w:val="both"/>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w:t>
      </w:r>
      <w:r>
        <w:rPr>
          <w:rFonts w:hint="eastAsia" w:ascii="仿宋_GB2312" w:hAnsi="仿宋_GB2312" w:eastAsia="仿宋_GB2312" w:cs="仿宋_GB2312"/>
          <w:color w:val="000000"/>
          <w:sz w:val="28"/>
          <w:szCs w:val="28"/>
          <w:u w:val="single"/>
          <w:lang w:val="en-US" w:eastAsia="zh-CN"/>
        </w:rPr>
        <w:t>海洋路校区体育馆彩钢瓦屋面维补</w:t>
      </w:r>
      <w:r>
        <w:rPr>
          <w:rFonts w:hint="eastAsia" w:ascii="仿宋_GB2312" w:hAnsi="仿宋_GB2312" w:eastAsia="仿宋_GB2312" w:cs="仿宋_GB2312"/>
          <w:color w:val="000000"/>
          <w:sz w:val="28"/>
          <w:szCs w:val="28"/>
          <w:u w:val="single"/>
          <w:lang w:eastAsia="zh-CN"/>
        </w:rPr>
        <w:t>项目采购项目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4A686341">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4"/>
        <w:spacing w:line="360" w:lineRule="auto"/>
        <w:ind w:firstLine="480"/>
        <w:rPr>
          <w:rFonts w:hint="eastAsia"/>
        </w:rPr>
      </w:pPr>
    </w:p>
    <w:p w14:paraId="2FD35828">
      <w:pPr>
        <w:pStyle w:val="24"/>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XJ2025066</w:t>
      </w:r>
      <w:r>
        <w:rPr>
          <w:rFonts w:hint="eastAsia"/>
        </w:rPr>
        <w:t>号项目采购活动的合法代理人，以本公司名义全权处理一切与该项目采购有关的事务。</w:t>
      </w:r>
    </w:p>
    <w:p w14:paraId="451CFB68">
      <w:pPr>
        <w:pStyle w:val="24"/>
        <w:spacing w:line="360" w:lineRule="auto"/>
        <w:ind w:firstLine="480"/>
        <w:rPr>
          <w:rFonts w:hint="eastAsia"/>
        </w:rPr>
      </w:pPr>
      <w:r>
        <w:rPr>
          <w:rFonts w:hint="eastAsia"/>
        </w:rPr>
        <w:t>本授权书于______年____月____日起生效，特此声明。</w:t>
      </w:r>
    </w:p>
    <w:p w14:paraId="7EC3F32E">
      <w:pPr>
        <w:pStyle w:val="24"/>
        <w:spacing w:line="360" w:lineRule="auto"/>
        <w:rPr>
          <w:rFonts w:hint="eastAsia"/>
        </w:rPr>
      </w:pPr>
      <w:r>
        <w:rPr>
          <w:rFonts w:hint="eastAsia"/>
        </w:rPr>
        <w:t xml:space="preserve">          代理人（被授权人）：_______________________</w:t>
      </w:r>
    </w:p>
    <w:p w14:paraId="1CC9DA48">
      <w:pPr>
        <w:pStyle w:val="24"/>
        <w:spacing w:line="360" w:lineRule="auto"/>
        <w:rPr>
          <w:rFonts w:hint="eastAsia"/>
        </w:rPr>
      </w:pPr>
      <w:r>
        <w:rPr>
          <w:rFonts w:hint="eastAsia"/>
        </w:rPr>
        <w:t xml:space="preserve">          单位名称：_____________________________________</w:t>
      </w:r>
    </w:p>
    <w:p w14:paraId="2119AC8C">
      <w:pPr>
        <w:pStyle w:val="24"/>
        <w:spacing w:line="360" w:lineRule="auto"/>
        <w:ind w:firstLine="1960" w:firstLineChars="700"/>
        <w:rPr>
          <w:rFonts w:hint="eastAsia"/>
        </w:rPr>
      </w:pPr>
      <w:r>
        <w:rPr>
          <w:rFonts w:hint="eastAsia"/>
        </w:rPr>
        <w:t>授权单位盖章：_________________________________</w:t>
      </w:r>
    </w:p>
    <w:p w14:paraId="36236F2F">
      <w:pPr>
        <w:pStyle w:val="24"/>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4"/>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4"/>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5"/>
        <w:ind w:firstLine="210"/>
        <w:rPr>
          <w:lang w:val="zh-TW"/>
        </w:rPr>
      </w:pPr>
    </w:p>
    <w:p w14:paraId="77F834A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4"/>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4"/>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3714D6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cs="Times New Roman"/>
          <w:b/>
          <w:bCs/>
          <w:color w:val="000000"/>
          <w:sz w:val="30"/>
          <w:szCs w:val="30"/>
          <w:lang w:eastAsia="zh-CN"/>
        </w:rPr>
        <w:t>负责人</w:t>
      </w:r>
      <w:r>
        <w:rPr>
          <w:rFonts w:hint="default" w:ascii="Times New Roman" w:hAnsi="Times New Roman" w:cs="Times New Roman"/>
          <w:b/>
          <w:bCs/>
          <w:color w:val="000000"/>
          <w:sz w:val="30"/>
          <w:szCs w:val="30"/>
        </w:rPr>
        <w:t>简历</w:t>
      </w:r>
    </w:p>
    <w:tbl>
      <w:tblPr>
        <w:tblStyle w:val="16"/>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2"/>
        <w:gridCol w:w="2001"/>
        <w:gridCol w:w="1449"/>
        <w:gridCol w:w="1066"/>
        <w:gridCol w:w="1022"/>
        <w:gridCol w:w="1085"/>
        <w:gridCol w:w="957"/>
        <w:gridCol w:w="991"/>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default" w:ascii="Times New Roman" w:hAnsi="Times New Roman" w:cs="Times New Roman"/>
                <w:color w:val="000000"/>
                <w:sz w:val="21"/>
                <w:szCs w:val="21"/>
              </w:rPr>
              <w:t>项目</w:t>
            </w:r>
            <w:r>
              <w:rPr>
                <w:rFonts w:hint="eastAsia" w:cs="Times New Roman"/>
                <w:color w:val="000000"/>
                <w:sz w:val="21"/>
                <w:szCs w:val="21"/>
                <w:lang w:eastAsia="zh-CN"/>
              </w:rPr>
              <w:t>负责人</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56696C8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2614883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w:t>
      </w:r>
      <w:r>
        <w:rPr>
          <w:rFonts w:hint="eastAsia"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w:t>
      </w:r>
      <w:r>
        <w:rPr>
          <w:rFonts w:hint="eastAsia"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日</w:t>
      </w:r>
    </w:p>
    <w:p w14:paraId="2123A58F"/>
    <w:p w14:paraId="21680B67"/>
    <w:sectPr>
      <w:footerReference r:id="rId3" w:type="default"/>
      <w:pgSz w:w="11906" w:h="16838"/>
      <w:pgMar w:top="1157" w:right="1134" w:bottom="1157" w:left="107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5CD02"/>
    <w:multiLevelType w:val="singleLevel"/>
    <w:tmpl w:val="1285CD0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C54536A"/>
    <w:rsid w:val="0CB70A7B"/>
    <w:rsid w:val="20C66CAC"/>
    <w:rsid w:val="2278573F"/>
    <w:rsid w:val="25873D4C"/>
    <w:rsid w:val="25FE4978"/>
    <w:rsid w:val="265F25D3"/>
    <w:rsid w:val="29215311"/>
    <w:rsid w:val="297178A3"/>
    <w:rsid w:val="2AF41EF5"/>
    <w:rsid w:val="2C687786"/>
    <w:rsid w:val="31E860C7"/>
    <w:rsid w:val="39972046"/>
    <w:rsid w:val="3F503952"/>
    <w:rsid w:val="3F8F0AE5"/>
    <w:rsid w:val="402C6F40"/>
    <w:rsid w:val="47893ACF"/>
    <w:rsid w:val="479568F4"/>
    <w:rsid w:val="49732801"/>
    <w:rsid w:val="4D0C70A1"/>
    <w:rsid w:val="4FD1365B"/>
    <w:rsid w:val="50893782"/>
    <w:rsid w:val="50E41479"/>
    <w:rsid w:val="5FFF33E6"/>
    <w:rsid w:val="63343596"/>
    <w:rsid w:val="666944D8"/>
    <w:rsid w:val="6A2E4D2E"/>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szCs w:val="21"/>
    </w:rPr>
  </w:style>
  <w:style w:type="paragraph" w:styleId="6">
    <w:name w:val="annotation text"/>
    <w:basedOn w:val="1"/>
    <w:qFormat/>
    <w:uiPriority w:val="0"/>
    <w:pPr>
      <w:jc w:val="left"/>
    </w:pPr>
  </w:style>
  <w:style w:type="paragraph" w:styleId="7">
    <w:name w:val="Body Text"/>
    <w:basedOn w:val="1"/>
    <w:next w:val="1"/>
    <w:qFormat/>
    <w:uiPriority w:val="99"/>
    <w:pPr>
      <w:spacing w:after="120"/>
    </w:pPr>
  </w:style>
  <w:style w:type="paragraph" w:styleId="8">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9">
    <w:name w:val="toc 3"/>
    <w:basedOn w:val="1"/>
    <w:next w:val="1"/>
    <w:qFormat/>
    <w:uiPriority w:val="0"/>
    <w:pPr>
      <w:ind w:left="840" w:leftChars="400"/>
    </w:pPr>
  </w:style>
  <w:style w:type="paragraph" w:styleId="10">
    <w:name w:val="Body Text Indent 2"/>
    <w:basedOn w:val="1"/>
    <w:qFormat/>
    <w:uiPriority w:val="0"/>
    <w:pPr>
      <w:spacing w:after="120" w:line="480" w:lineRule="auto"/>
      <w:ind w:left="420" w:leftChars="200"/>
    </w:pPr>
    <w:rPr>
      <w:rFonts w:ascii="Calibri" w:hAnsi="Calibri"/>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0"/>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7"/>
    <w:next w:val="1"/>
    <w:qFormat/>
    <w:uiPriority w:val="99"/>
    <w:pPr>
      <w:ind w:firstLine="420" w:firstLineChars="100"/>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qFormat/>
    <w:uiPriority w:val="0"/>
    <w:rPr>
      <w:color w:val="0000FF"/>
      <w:u w:val="single"/>
    </w:rPr>
  </w:style>
  <w:style w:type="paragraph" w:customStyle="1" w:styleId="20">
    <w:name w:val="一级条标题"/>
    <w:basedOn w:val="21"/>
    <w:next w:val="22"/>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1">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2">
    <w:name w:val="段"/>
    <w:basedOn w:val="1"/>
    <w:next w:val="1"/>
    <w:qFormat/>
    <w:uiPriority w:val="0"/>
    <w:pPr>
      <w:ind w:firstLine="200"/>
    </w:pPr>
    <w:rPr>
      <w:rFonts w:ascii="宋体" w:hAnsi="宋体" w:cs="宋体"/>
      <w:color w:val="000000"/>
      <w:kern w:val="0"/>
    </w:rPr>
  </w:style>
  <w:style w:type="paragraph" w:customStyle="1" w:styleId="2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4">
    <w:name w:val="Char"/>
    <w:basedOn w:val="1"/>
    <w:qFormat/>
    <w:uiPriority w:val="0"/>
    <w:pPr>
      <w:tabs>
        <w:tab w:val="left" w:pos="360"/>
      </w:tabs>
      <w:ind w:firstLine="200" w:firstLineChars="200"/>
    </w:pPr>
    <w:rPr>
      <w:sz w:val="28"/>
      <w:szCs w:val="30"/>
    </w:rPr>
  </w:style>
  <w:style w:type="character" w:customStyle="1" w:styleId="25">
    <w:name w:val="font1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7812</Words>
  <Characters>8271</Characters>
  <Lines>0</Lines>
  <Paragraphs>0</Paragraphs>
  <TotalTime>8</TotalTime>
  <ScaleCrop>false</ScaleCrop>
  <LinksUpToDate>false</LinksUpToDate>
  <CharactersWithSpaces>8578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2025-06-10T02:08:00Z</cp:lastPrinted>
  <dcterms:modified xsi:type="dcterms:W3CDTF">2025-06-10T07:49:41Z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241DB3A0F5C54C0E8C0C631DD3DF183B_11</vt:lpwstr>
  </property>
  <property fmtid="{D5CDD505-2E9C-101B-9397-08002B2CF9AE}" pid="4" name="KSOTemplateDocerSaveRecord">
    <vt:lpwstr>eyJoZGlkIjoiNzNmZjU1YTc0YjdiOTljOGE2M2FlMDEzOGI1NDFkNjYiLCJ1c2VySWQiOiIzMjQyMDI1MjcifQ==</vt:lpwstr>
  </property>
</Properties>
</file>