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BA33F7">
      <w:pPr>
        <w:jc w:val="center"/>
        <w:rPr>
          <w:rFonts w:hint="eastAsia" w:ascii="宋体" w:hAnsi="宋体" w:cs="宋体"/>
          <w:b/>
          <w:bCs/>
          <w:color w:val="333333"/>
          <w:sz w:val="32"/>
          <w:szCs w:val="32"/>
          <w:shd w:val="clear" w:color="auto" w:fill="FFFFFF"/>
          <w:lang w:val="en-US" w:eastAsia="zh-CN"/>
        </w:rPr>
      </w:pPr>
      <w:r>
        <w:rPr>
          <w:rFonts w:hint="eastAsia" w:ascii="宋体" w:hAnsi="宋体" w:eastAsia="宋体" w:cs="宋体"/>
          <w:b/>
          <w:bCs/>
          <w:color w:val="333333"/>
          <w:sz w:val="32"/>
          <w:szCs w:val="32"/>
          <w:shd w:val="clear" w:color="auto" w:fill="FFFFFF"/>
          <w:lang w:val="en-US" w:eastAsia="zh-CN"/>
        </w:rPr>
        <w:t>江苏省盐城技师学院</w:t>
      </w:r>
      <w:r>
        <w:rPr>
          <w:rFonts w:hint="eastAsia" w:ascii="宋体" w:hAnsi="宋体" w:cs="宋体"/>
          <w:b/>
          <w:bCs/>
          <w:color w:val="333333"/>
          <w:sz w:val="32"/>
          <w:szCs w:val="32"/>
          <w:shd w:val="clear" w:color="auto" w:fill="FFFFFF"/>
          <w:lang w:val="en-US" w:eastAsia="zh-CN"/>
        </w:rPr>
        <w:t>节水节电能耗管理</w:t>
      </w:r>
      <w:r>
        <w:rPr>
          <w:rFonts w:hint="eastAsia" w:ascii="宋体" w:hAnsi="宋体" w:eastAsia="宋体" w:cs="宋体"/>
          <w:b/>
          <w:bCs/>
          <w:color w:val="333333"/>
          <w:sz w:val="32"/>
          <w:szCs w:val="32"/>
          <w:shd w:val="clear" w:color="auto" w:fill="FFFFFF"/>
          <w:lang w:val="en-US" w:eastAsia="zh-CN"/>
        </w:rPr>
        <w:t>系统</w:t>
      </w:r>
      <w:r>
        <w:rPr>
          <w:rFonts w:hint="eastAsia" w:ascii="宋体" w:hAnsi="宋体" w:cs="宋体"/>
          <w:b/>
          <w:bCs/>
          <w:color w:val="333333"/>
          <w:sz w:val="32"/>
          <w:szCs w:val="32"/>
          <w:shd w:val="clear" w:color="auto" w:fill="FFFFFF"/>
          <w:lang w:val="en-US" w:eastAsia="zh-CN"/>
        </w:rPr>
        <w:t>建设项目</w:t>
      </w:r>
    </w:p>
    <w:p w14:paraId="4DCC73A3">
      <w:pPr>
        <w:jc w:val="center"/>
        <w:rPr>
          <w:rFonts w:hint="eastAsia" w:ascii="宋体" w:hAnsi="宋体" w:eastAsia="宋体" w:cs="宋体"/>
          <w:b/>
          <w:bCs/>
          <w:color w:val="333333"/>
          <w:sz w:val="32"/>
          <w:szCs w:val="32"/>
          <w:shd w:val="clear" w:color="auto" w:fill="FFFFFF"/>
          <w:lang w:val="en-US" w:eastAsia="zh-CN"/>
        </w:rPr>
      </w:pPr>
      <w:r>
        <w:rPr>
          <w:rFonts w:hint="eastAsia" w:ascii="宋体" w:hAnsi="宋体" w:eastAsia="宋体" w:cs="宋体"/>
          <w:b/>
          <w:bCs/>
          <w:color w:val="333333"/>
          <w:sz w:val="32"/>
          <w:szCs w:val="32"/>
          <w:shd w:val="clear" w:color="auto" w:fill="FFFFFF"/>
          <w:lang w:val="en-US" w:eastAsia="zh-CN"/>
        </w:rPr>
        <w:t>参数公示（意向公示）</w:t>
      </w:r>
    </w:p>
    <w:p w14:paraId="6C3398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kern w:val="0"/>
          <w:sz w:val="32"/>
          <w:szCs w:val="32"/>
          <w:shd w:val="clear" w:color="auto" w:fill="FFFFFF"/>
          <w:lang w:val="en-US" w:eastAsia="zh-CN" w:bidi="ar"/>
        </w:rPr>
        <w:t>江苏省盐城技师学院近期拟对节水节电能耗管理系统建设项目</w:t>
      </w:r>
      <w:r>
        <w:rPr>
          <w:rFonts w:hint="eastAsia" w:ascii="仿宋" w:hAnsi="仿宋" w:eastAsia="仿宋" w:cs="仿宋"/>
          <w:color w:val="333333"/>
          <w:kern w:val="0"/>
          <w:sz w:val="32"/>
          <w:szCs w:val="32"/>
          <w:shd w:val="clear" w:color="auto" w:fill="FFFFFF"/>
          <w:lang w:val="en-US" w:eastAsia="zh-CN" w:bidi="ar"/>
        </w:rPr>
        <w:t>启动采购程序，为充分创造条件让供应商参</w:t>
      </w:r>
      <w:r>
        <w:rPr>
          <w:rFonts w:hint="eastAsia" w:ascii="仿宋" w:hAnsi="仿宋" w:eastAsia="仿宋" w:cs="仿宋"/>
          <w:color w:val="333333"/>
          <w:sz w:val="32"/>
          <w:szCs w:val="32"/>
          <w:shd w:val="clear" w:color="auto" w:fill="FFFFFF"/>
        </w:rPr>
        <w:t>与采购项目，根据《政府采购信息发布管理办法》（财政部令〔2019〕101号）、《关于开展政府采购意向公开工作的通知》（财库〔2020〕10号）、《政府采购需求管理办法》（财库〔2021〕22号）精神，现将有关该项目的主要用途、功能及使用目的、采购需求（技术参数、主要配置、</w:t>
      </w:r>
      <w:r>
        <w:rPr>
          <w:rFonts w:hint="eastAsia" w:ascii="仿宋" w:hAnsi="仿宋" w:eastAsia="仿宋" w:cs="仿宋"/>
          <w:color w:val="333333"/>
          <w:sz w:val="32"/>
          <w:szCs w:val="32"/>
          <w:shd w:val="clear" w:color="auto" w:fill="FFFFFF"/>
          <w:lang w:eastAsia="zh-CN"/>
        </w:rPr>
        <w:t>总预算量、人工明细量</w:t>
      </w:r>
      <w:r>
        <w:rPr>
          <w:rFonts w:hint="eastAsia" w:ascii="仿宋" w:hAnsi="仿宋" w:eastAsia="仿宋" w:cs="仿宋"/>
          <w:color w:val="333333"/>
          <w:sz w:val="32"/>
          <w:szCs w:val="32"/>
          <w:shd w:val="clear" w:color="auto" w:fill="FFFFFF"/>
        </w:rPr>
        <w:t>等）进行公示。</w:t>
      </w:r>
    </w:p>
    <w:p w14:paraId="1BF80C78">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 w:hAnsi="仿宋" w:eastAsia="仿宋" w:cs="仿宋"/>
          <w:color w:val="333333"/>
          <w:sz w:val="32"/>
          <w:szCs w:val="32"/>
          <w:lang w:eastAsia="zh-CN"/>
        </w:rPr>
      </w:pPr>
      <w:r>
        <w:rPr>
          <w:rFonts w:hint="eastAsia" w:ascii="仿宋" w:hAnsi="仿宋" w:eastAsia="仿宋" w:cs="仿宋"/>
          <w:color w:val="333333"/>
          <w:sz w:val="32"/>
          <w:szCs w:val="32"/>
          <w:shd w:val="clear" w:color="auto" w:fill="FFFFFF"/>
        </w:rPr>
        <w:t>详见附件：采购需求</w:t>
      </w:r>
      <w:r>
        <w:rPr>
          <w:rFonts w:hint="eastAsia" w:ascii="仿宋" w:hAnsi="仿宋" w:eastAsia="仿宋" w:cs="仿宋"/>
          <w:color w:val="333333"/>
          <w:sz w:val="32"/>
          <w:szCs w:val="32"/>
          <w:shd w:val="clear" w:color="auto" w:fill="FFFFFF"/>
          <w:lang w:eastAsia="zh-CN"/>
        </w:rPr>
        <w:t>。</w:t>
      </w:r>
    </w:p>
    <w:p w14:paraId="3CB7A828">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shd w:val="clear" w:color="auto" w:fill="FFFFFF"/>
        </w:rPr>
        <w:t>本次公示是采购需求的初步安排，具体采购项目情况以相关采购公告和采购文件为准。</w:t>
      </w:r>
    </w:p>
    <w:p w14:paraId="1B0B4D3C">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shd w:val="clear" w:color="auto" w:fill="FFFFFF"/>
        </w:rPr>
        <w:t>如有异议，请于本公示后五日内，书面送（寄）达我校（需盖章），逾期不予接受。</w:t>
      </w:r>
    </w:p>
    <w:p w14:paraId="35B890A5">
      <w:pPr>
        <w:keepNext w:val="0"/>
        <w:keepLines w:val="0"/>
        <w:pageBreakBefore w:val="0"/>
        <w:shd w:val="clear" w:color="auto" w:fill="FFFFFF"/>
        <w:kinsoku/>
        <w:wordWrap/>
        <w:overflowPunct/>
        <w:topLinePunct w:val="0"/>
        <w:autoSpaceDE/>
        <w:autoSpaceDN/>
        <w:bidi w:val="0"/>
        <w:adjustRightInd/>
        <w:snapToGrid/>
        <w:spacing w:line="520" w:lineRule="exact"/>
        <w:ind w:firstLine="643" w:firstLineChars="200"/>
        <w:jc w:val="left"/>
        <w:textAlignment w:val="auto"/>
        <w:rPr>
          <w:rFonts w:hint="eastAsia" w:ascii="仿宋" w:hAnsi="仿宋" w:eastAsia="仿宋" w:cs="仿宋"/>
          <w:color w:val="000000"/>
          <w:sz w:val="32"/>
          <w:szCs w:val="32"/>
        </w:rPr>
      </w:pPr>
      <w:r>
        <w:rPr>
          <w:rFonts w:hint="eastAsia" w:ascii="仿宋" w:hAnsi="仿宋" w:eastAsia="仿宋" w:cs="仿宋"/>
          <w:b/>
          <w:bCs/>
          <w:color w:val="000000"/>
          <w:sz w:val="32"/>
          <w:szCs w:val="32"/>
        </w:rPr>
        <w:t>联系地址：</w:t>
      </w:r>
      <w:r>
        <w:rPr>
          <w:rFonts w:hint="eastAsia" w:ascii="仿宋" w:hAnsi="仿宋" w:eastAsia="仿宋" w:cs="仿宋"/>
          <w:color w:val="000000"/>
          <w:sz w:val="32"/>
          <w:szCs w:val="32"/>
        </w:rPr>
        <w:t>江苏省盐城技师学院海洋路校区（盐城市盐都区海洋路29号匠心14楼1412办公室）。</w:t>
      </w:r>
    </w:p>
    <w:p w14:paraId="4E0F28F2">
      <w:pPr>
        <w:keepNext w:val="0"/>
        <w:keepLines w:val="0"/>
        <w:pageBreakBefore w:val="0"/>
        <w:shd w:val="clear" w:color="auto" w:fill="FFFFFF"/>
        <w:kinsoku/>
        <w:wordWrap/>
        <w:overflowPunct/>
        <w:topLinePunct w:val="0"/>
        <w:autoSpaceDE/>
        <w:autoSpaceDN/>
        <w:bidi w:val="0"/>
        <w:adjustRightInd/>
        <w:snapToGrid/>
        <w:spacing w:line="520" w:lineRule="exact"/>
        <w:ind w:firstLine="643" w:firstLineChars="200"/>
        <w:jc w:val="left"/>
        <w:textAlignment w:val="auto"/>
        <w:rPr>
          <w:rFonts w:hint="eastAsia" w:ascii="仿宋" w:hAnsi="仿宋" w:eastAsia="仿宋" w:cs="仿宋"/>
          <w:color w:val="000000"/>
          <w:sz w:val="32"/>
          <w:szCs w:val="32"/>
          <w:lang w:val="en-US" w:eastAsia="zh-CN"/>
        </w:rPr>
      </w:pPr>
      <w:r>
        <w:rPr>
          <w:rFonts w:hint="eastAsia" w:ascii="仿宋" w:hAnsi="仿宋" w:eastAsia="仿宋" w:cs="仿宋"/>
          <w:b/>
          <w:bCs/>
          <w:color w:val="000000"/>
          <w:sz w:val="32"/>
          <w:szCs w:val="32"/>
        </w:rPr>
        <w:t>联系人：</w:t>
      </w:r>
      <w:r>
        <w:rPr>
          <w:rFonts w:hint="eastAsia" w:ascii="仿宋" w:hAnsi="仿宋" w:eastAsia="仿宋" w:cs="仿宋"/>
          <w:color w:val="000000"/>
          <w:sz w:val="32"/>
          <w:szCs w:val="32"/>
          <w:lang w:eastAsia="zh-CN"/>
        </w:rPr>
        <w:t>王</w:t>
      </w:r>
      <w:r>
        <w:rPr>
          <w:rFonts w:hint="eastAsia" w:ascii="仿宋" w:hAnsi="仿宋" w:eastAsia="仿宋" w:cs="仿宋"/>
          <w:color w:val="000000"/>
          <w:sz w:val="32"/>
          <w:szCs w:val="32"/>
        </w:rPr>
        <w:t>老师 0515—68661002/13</w:t>
      </w:r>
      <w:r>
        <w:rPr>
          <w:rFonts w:hint="eastAsia" w:ascii="仿宋" w:hAnsi="仿宋" w:eastAsia="仿宋" w:cs="仿宋"/>
          <w:color w:val="000000"/>
          <w:sz w:val="32"/>
          <w:szCs w:val="32"/>
          <w:lang w:val="en-US" w:eastAsia="zh-CN"/>
        </w:rPr>
        <w:t>056150848</w:t>
      </w:r>
    </w:p>
    <w:p w14:paraId="480E0F14">
      <w:pPr>
        <w:keepNext w:val="0"/>
        <w:keepLines w:val="0"/>
        <w:pageBreakBefore w:val="0"/>
        <w:shd w:val="clear" w:color="auto" w:fill="FFFFFF"/>
        <w:kinsoku/>
        <w:wordWrap/>
        <w:overflowPunct/>
        <w:topLinePunct w:val="0"/>
        <w:autoSpaceDE/>
        <w:autoSpaceDN/>
        <w:bidi w:val="0"/>
        <w:adjustRightInd/>
        <w:snapToGrid/>
        <w:spacing w:line="520" w:lineRule="exact"/>
        <w:ind w:firstLine="1920" w:firstLineChars="600"/>
        <w:jc w:val="left"/>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邵老师 </w:t>
      </w:r>
      <w:r>
        <w:rPr>
          <w:rFonts w:hint="eastAsia" w:ascii="仿宋" w:hAnsi="仿宋" w:eastAsia="仿宋" w:cs="仿宋"/>
          <w:color w:val="000000"/>
          <w:sz w:val="32"/>
          <w:szCs w:val="32"/>
        </w:rPr>
        <w:t>0515—68661002/</w:t>
      </w:r>
      <w:r>
        <w:rPr>
          <w:rFonts w:hint="eastAsia" w:ascii="仿宋" w:hAnsi="仿宋" w:eastAsia="仿宋" w:cs="仿宋"/>
          <w:color w:val="000000"/>
          <w:sz w:val="32"/>
          <w:szCs w:val="32"/>
          <w:lang w:val="en-US" w:eastAsia="zh-CN"/>
        </w:rPr>
        <w:t>13905109103</w:t>
      </w:r>
    </w:p>
    <w:p w14:paraId="180EB570">
      <w:pPr>
        <w:keepNext w:val="0"/>
        <w:keepLines w:val="0"/>
        <w:pageBreakBefore w:val="0"/>
        <w:shd w:val="clear" w:color="auto" w:fill="FFFFFF"/>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p>
    <w:p w14:paraId="5A16A9E4">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375"/>
        <w:jc w:val="right"/>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江苏省盐城技师学院招投标办公室</w:t>
      </w:r>
    </w:p>
    <w:p w14:paraId="6A5CFDF6">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 w:hAnsi="仿宋" w:eastAsia="仿宋" w:cs="仿宋"/>
          <w:color w:val="333333"/>
          <w:sz w:val="32"/>
          <w:szCs w:val="32"/>
          <w:shd w:val="clear" w:color="auto" w:fill="FFFFFF"/>
          <w:lang w:eastAsia="zh-CN"/>
        </w:rPr>
      </w:pPr>
      <w:r>
        <w:rPr>
          <w:rFonts w:hint="eastAsia" w:ascii="仿宋" w:hAnsi="仿宋" w:eastAsia="仿宋" w:cs="仿宋"/>
          <w:color w:val="333333"/>
          <w:sz w:val="32"/>
          <w:szCs w:val="32"/>
          <w:shd w:val="clear" w:color="auto" w:fill="FFFFFF"/>
        </w:rPr>
        <w:t xml:space="preserve">                     </w:t>
      </w:r>
      <w:r>
        <w:rPr>
          <w:rFonts w:hint="eastAsia" w:ascii="仿宋" w:hAnsi="仿宋" w:eastAsia="仿宋" w:cs="仿宋"/>
          <w:color w:val="333333"/>
          <w:sz w:val="32"/>
          <w:szCs w:val="32"/>
          <w:shd w:val="clear" w:color="auto" w:fill="FFFFFF"/>
          <w:lang w:eastAsia="zh-CN"/>
        </w:rPr>
        <w:t>2025年</w:t>
      </w:r>
      <w:r>
        <w:rPr>
          <w:rFonts w:hint="eastAsia" w:ascii="仿宋" w:hAnsi="仿宋" w:eastAsia="仿宋" w:cs="仿宋"/>
          <w:color w:val="333333"/>
          <w:sz w:val="32"/>
          <w:szCs w:val="32"/>
          <w:shd w:val="clear" w:color="auto" w:fill="FFFFFF"/>
          <w:lang w:val="en-US" w:eastAsia="zh-CN"/>
        </w:rPr>
        <w:t>6</w:t>
      </w:r>
      <w:r>
        <w:rPr>
          <w:rFonts w:hint="eastAsia" w:ascii="仿宋" w:hAnsi="仿宋" w:eastAsia="仿宋" w:cs="仿宋"/>
          <w:color w:val="333333"/>
          <w:sz w:val="32"/>
          <w:szCs w:val="32"/>
          <w:shd w:val="clear" w:color="auto" w:fill="FFFFFF"/>
          <w:lang w:eastAsia="zh-CN"/>
        </w:rPr>
        <w:t>月</w:t>
      </w:r>
      <w:r>
        <w:rPr>
          <w:rFonts w:hint="eastAsia" w:ascii="仿宋" w:hAnsi="仿宋" w:eastAsia="仿宋" w:cs="仿宋"/>
          <w:color w:val="333333"/>
          <w:sz w:val="32"/>
          <w:szCs w:val="32"/>
          <w:shd w:val="clear" w:color="auto" w:fill="FFFFFF"/>
          <w:lang w:val="en-US" w:eastAsia="zh-CN"/>
        </w:rPr>
        <w:t>4</w:t>
      </w:r>
      <w:r>
        <w:rPr>
          <w:rFonts w:hint="eastAsia" w:ascii="仿宋" w:hAnsi="仿宋" w:eastAsia="仿宋" w:cs="仿宋"/>
          <w:color w:val="333333"/>
          <w:sz w:val="32"/>
          <w:szCs w:val="32"/>
          <w:shd w:val="clear" w:color="auto" w:fill="FFFFFF"/>
          <w:lang w:eastAsia="zh-CN"/>
        </w:rPr>
        <w:t>日</w:t>
      </w:r>
    </w:p>
    <w:p w14:paraId="23F1B04D">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 w:hAnsi="仿宋" w:eastAsia="仿宋" w:cs="仿宋"/>
          <w:color w:val="333333"/>
          <w:sz w:val="32"/>
          <w:szCs w:val="32"/>
          <w:shd w:val="clear" w:color="auto" w:fill="FFFFFF"/>
          <w:lang w:eastAsia="zh-CN"/>
        </w:rPr>
      </w:pPr>
    </w:p>
    <w:p w14:paraId="47504029">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 w:hAnsi="仿宋" w:eastAsia="仿宋" w:cs="仿宋"/>
          <w:color w:val="333333"/>
          <w:sz w:val="32"/>
          <w:szCs w:val="32"/>
          <w:shd w:val="clear" w:color="auto" w:fill="FFFFFF"/>
          <w:lang w:eastAsia="zh-CN"/>
        </w:rPr>
      </w:pPr>
    </w:p>
    <w:p w14:paraId="038DDB25">
      <w:pPr>
        <w:pStyle w:val="2"/>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rPr>
          <w:rFonts w:hint="eastAsia" w:ascii="黑体" w:hAnsi="黑体" w:eastAsia="黑体" w:cs="黑体"/>
          <w:color w:val="auto"/>
        </w:rPr>
      </w:pPr>
      <w:r>
        <w:rPr>
          <w:rFonts w:hint="eastAsia" w:ascii="黑体" w:hAnsi="黑体" w:eastAsia="黑体" w:cs="黑体"/>
          <w:color w:val="auto"/>
        </w:rPr>
        <w:t>江苏省盐城技师学院</w:t>
      </w:r>
    </w:p>
    <w:p w14:paraId="6E8B7232">
      <w:pPr>
        <w:pStyle w:val="2"/>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rPr>
          <w:rFonts w:hint="eastAsia" w:ascii="黑体" w:hAnsi="黑体" w:eastAsia="黑体" w:cs="黑体"/>
          <w:color w:val="auto"/>
        </w:rPr>
      </w:pPr>
      <w:r>
        <w:rPr>
          <w:rFonts w:hint="eastAsia" w:ascii="黑体" w:hAnsi="黑体" w:eastAsia="黑体" w:cs="黑体"/>
          <w:color w:val="auto"/>
        </w:rPr>
        <w:t>节水节电能耗管理系统建设技术参数</w:t>
      </w:r>
    </w:p>
    <w:p w14:paraId="7377A322">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微软雅黑" w:hAnsi="微软雅黑" w:eastAsia="微软雅黑"/>
          <w:b/>
          <w:bCs/>
          <w:color w:val="auto"/>
          <w:sz w:val="28"/>
          <w:szCs w:val="28"/>
        </w:rPr>
      </w:pPr>
    </w:p>
    <w:p w14:paraId="6613AA17">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微软雅黑" w:hAnsi="微软雅黑" w:eastAsia="微软雅黑"/>
          <w:color w:val="auto"/>
          <w:sz w:val="28"/>
          <w:szCs w:val="28"/>
          <w:lang w:eastAsia="zh-CN"/>
        </w:rPr>
      </w:pPr>
      <w:r>
        <w:rPr>
          <w:rFonts w:hint="eastAsia" w:ascii="微软雅黑" w:hAnsi="微软雅黑" w:eastAsia="微软雅黑"/>
          <w:b/>
          <w:bCs/>
          <w:color w:val="auto"/>
          <w:sz w:val="28"/>
          <w:szCs w:val="28"/>
        </w:rPr>
        <w:t>预算统计</w:t>
      </w:r>
      <w:r>
        <w:rPr>
          <w:rFonts w:hint="eastAsia" w:ascii="微软雅黑" w:hAnsi="微软雅黑" w:eastAsia="微软雅黑"/>
          <w:b/>
          <w:bCs/>
          <w:color w:val="auto"/>
          <w:sz w:val="28"/>
          <w:szCs w:val="28"/>
          <w:lang w:eastAsia="zh-CN"/>
        </w:rPr>
        <w:t>（</w:t>
      </w:r>
      <w:r>
        <w:rPr>
          <w:rFonts w:hint="eastAsia" w:ascii="微软雅黑" w:hAnsi="微软雅黑" w:eastAsia="微软雅黑"/>
          <w:b/>
          <w:bCs/>
          <w:color w:val="auto"/>
          <w:sz w:val="28"/>
          <w:szCs w:val="28"/>
          <w:lang w:val="en-US" w:eastAsia="zh-CN"/>
        </w:rPr>
        <w:t>单位：元</w:t>
      </w:r>
      <w:r>
        <w:rPr>
          <w:rFonts w:hint="eastAsia" w:ascii="微软雅黑" w:hAnsi="微软雅黑" w:eastAsia="微软雅黑"/>
          <w:b/>
          <w:bCs/>
          <w:color w:val="auto"/>
          <w:sz w:val="28"/>
          <w:szCs w:val="28"/>
          <w:lang w:eastAsia="zh-CN"/>
        </w:rPr>
        <w:t>）</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0"/>
        <w:gridCol w:w="1733"/>
        <w:gridCol w:w="1574"/>
        <w:gridCol w:w="1746"/>
        <w:gridCol w:w="1829"/>
      </w:tblGrid>
      <w:tr w14:paraId="5C341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657" w:type="dxa"/>
            <w:gridSpan w:val="2"/>
            <w:vAlign w:val="center"/>
          </w:tcPr>
          <w:p w14:paraId="396F5706">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仿宋" w:hAnsi="仿宋" w:eastAsia="仿宋"/>
                <w:b/>
                <w:bCs/>
                <w:color w:val="auto"/>
                <w:sz w:val="24"/>
                <w:szCs w:val="24"/>
              </w:rPr>
            </w:pPr>
            <w:r>
              <w:rPr>
                <w:rFonts w:hint="eastAsia" w:ascii="仿宋" w:hAnsi="仿宋" w:eastAsia="仿宋"/>
                <w:b/>
                <w:bCs/>
                <w:color w:val="auto"/>
                <w:sz w:val="24"/>
                <w:szCs w:val="24"/>
              </w:rPr>
              <w:t xml:space="preserve">项 </w:t>
            </w:r>
            <w:r>
              <w:rPr>
                <w:rFonts w:ascii="仿宋" w:hAnsi="仿宋" w:eastAsia="仿宋"/>
                <w:b/>
                <w:bCs/>
                <w:color w:val="auto"/>
                <w:sz w:val="24"/>
                <w:szCs w:val="24"/>
              </w:rPr>
              <w:t xml:space="preserve">    </w:t>
            </w:r>
            <w:r>
              <w:rPr>
                <w:rFonts w:hint="eastAsia" w:ascii="仿宋" w:hAnsi="仿宋" w:eastAsia="仿宋"/>
                <w:b/>
                <w:bCs/>
                <w:color w:val="auto"/>
                <w:sz w:val="24"/>
                <w:szCs w:val="24"/>
              </w:rPr>
              <w:t>目</w:t>
            </w:r>
          </w:p>
        </w:tc>
        <w:tc>
          <w:tcPr>
            <w:tcW w:w="1703" w:type="dxa"/>
            <w:vAlign w:val="center"/>
          </w:tcPr>
          <w:p w14:paraId="48637E8F">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仿宋" w:hAnsi="仿宋" w:eastAsia="仿宋"/>
                <w:b/>
                <w:bCs/>
                <w:color w:val="auto"/>
                <w:sz w:val="24"/>
                <w:szCs w:val="24"/>
              </w:rPr>
            </w:pPr>
            <w:r>
              <w:rPr>
                <w:rFonts w:hint="eastAsia" w:ascii="仿宋" w:hAnsi="仿宋" w:eastAsia="仿宋"/>
                <w:b/>
                <w:bCs/>
                <w:color w:val="auto"/>
                <w:sz w:val="24"/>
                <w:szCs w:val="24"/>
              </w:rPr>
              <w:t>海洋路</w:t>
            </w:r>
          </w:p>
        </w:tc>
        <w:tc>
          <w:tcPr>
            <w:tcW w:w="1895" w:type="dxa"/>
            <w:vAlign w:val="center"/>
          </w:tcPr>
          <w:p w14:paraId="2B447820">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仿宋" w:hAnsi="仿宋" w:eastAsia="仿宋"/>
                <w:b/>
                <w:bCs/>
                <w:color w:val="auto"/>
                <w:sz w:val="24"/>
                <w:szCs w:val="24"/>
              </w:rPr>
            </w:pPr>
            <w:r>
              <w:rPr>
                <w:rFonts w:hint="eastAsia" w:ascii="仿宋" w:hAnsi="仿宋" w:eastAsia="仿宋"/>
                <w:b/>
                <w:bCs/>
                <w:color w:val="auto"/>
                <w:sz w:val="24"/>
                <w:szCs w:val="24"/>
              </w:rPr>
              <w:t>文港路</w:t>
            </w:r>
          </w:p>
        </w:tc>
        <w:tc>
          <w:tcPr>
            <w:tcW w:w="1987" w:type="dxa"/>
            <w:vAlign w:val="center"/>
          </w:tcPr>
          <w:p w14:paraId="62C44A36">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仿宋" w:hAnsi="仿宋" w:eastAsia="仿宋"/>
                <w:b/>
                <w:bCs/>
                <w:color w:val="auto"/>
                <w:sz w:val="24"/>
                <w:szCs w:val="24"/>
              </w:rPr>
            </w:pPr>
            <w:r>
              <w:rPr>
                <w:rFonts w:hint="eastAsia" w:ascii="仿宋" w:hAnsi="仿宋" w:eastAsia="仿宋"/>
                <w:b/>
                <w:bCs/>
                <w:color w:val="auto"/>
                <w:sz w:val="24"/>
                <w:szCs w:val="24"/>
              </w:rPr>
              <w:t>合计</w:t>
            </w:r>
          </w:p>
        </w:tc>
      </w:tr>
      <w:tr w14:paraId="7B523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777" w:type="dxa"/>
            <w:vMerge w:val="restart"/>
            <w:vAlign w:val="center"/>
          </w:tcPr>
          <w:p w14:paraId="34CDA74F">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仿宋" w:hAnsi="仿宋" w:eastAsia="仿宋"/>
                <w:color w:val="auto"/>
                <w:sz w:val="24"/>
                <w:szCs w:val="24"/>
              </w:rPr>
            </w:pPr>
            <w:r>
              <w:rPr>
                <w:rFonts w:hint="eastAsia" w:ascii="仿宋" w:hAnsi="仿宋" w:eastAsia="仿宋"/>
                <w:color w:val="auto"/>
                <w:sz w:val="24"/>
                <w:szCs w:val="24"/>
              </w:rPr>
              <w:t>空调节能系统</w:t>
            </w:r>
          </w:p>
        </w:tc>
        <w:tc>
          <w:tcPr>
            <w:tcW w:w="1880" w:type="dxa"/>
            <w:shd w:val="clear" w:color="auto" w:fill="auto"/>
            <w:vAlign w:val="center"/>
          </w:tcPr>
          <w:p w14:paraId="1C2D97EB">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仿宋" w:hAnsi="仿宋" w:eastAsia="仿宋" w:cs="Times New Roman"/>
                <w:color w:val="auto"/>
                <w:sz w:val="24"/>
                <w:szCs w:val="24"/>
              </w:rPr>
            </w:pPr>
            <w:r>
              <w:rPr>
                <w:rFonts w:hint="eastAsia" w:ascii="仿宋" w:hAnsi="仿宋" w:eastAsia="仿宋" w:cs="华文仿宋"/>
                <w:color w:val="auto"/>
                <w:sz w:val="24"/>
                <w:szCs w:val="24"/>
              </w:rPr>
              <w:t>中央空调</w:t>
            </w:r>
          </w:p>
        </w:tc>
        <w:tc>
          <w:tcPr>
            <w:tcW w:w="1703" w:type="dxa"/>
            <w:shd w:val="clear" w:color="auto" w:fill="auto"/>
            <w:vAlign w:val="center"/>
          </w:tcPr>
          <w:p w14:paraId="611EA2DE">
            <w:pPr>
              <w:jc w:val="center"/>
              <w:rPr>
                <w:rFonts w:hint="default" w:ascii="仿宋" w:hAnsi="仿宋" w:eastAsia="仿宋" w:cs="Times New Roman"/>
                <w:color w:val="auto"/>
                <w:sz w:val="24"/>
                <w:szCs w:val="24"/>
                <w:lang w:val="en-US" w:eastAsia="zh-CN"/>
              </w:rPr>
            </w:pPr>
          </w:p>
        </w:tc>
        <w:tc>
          <w:tcPr>
            <w:tcW w:w="1895" w:type="dxa"/>
            <w:shd w:val="clear" w:color="auto" w:fill="auto"/>
            <w:vAlign w:val="center"/>
          </w:tcPr>
          <w:p w14:paraId="61D3F1DB">
            <w:pPr>
              <w:jc w:val="center"/>
              <w:rPr>
                <w:rFonts w:hint="default" w:ascii="仿宋" w:hAnsi="仿宋" w:eastAsia="仿宋" w:cs="Times New Roman"/>
                <w:color w:val="auto"/>
                <w:sz w:val="24"/>
                <w:szCs w:val="24"/>
                <w:lang w:val="en-US" w:eastAsia="zh-CN"/>
              </w:rPr>
            </w:pPr>
          </w:p>
        </w:tc>
        <w:tc>
          <w:tcPr>
            <w:tcW w:w="1987" w:type="dxa"/>
            <w:shd w:val="clear" w:color="auto" w:fill="auto"/>
            <w:vAlign w:val="center"/>
          </w:tcPr>
          <w:p w14:paraId="43DF2916">
            <w:pPr>
              <w:jc w:val="center"/>
              <w:rPr>
                <w:rFonts w:hint="default" w:ascii="仿宋" w:hAnsi="仿宋" w:eastAsia="仿宋" w:cs="Times New Roman"/>
                <w:color w:val="auto"/>
                <w:sz w:val="24"/>
                <w:szCs w:val="24"/>
                <w:lang w:val="en-US" w:eastAsia="zh-CN"/>
              </w:rPr>
            </w:pPr>
          </w:p>
        </w:tc>
      </w:tr>
      <w:tr w14:paraId="75A89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777" w:type="dxa"/>
            <w:vMerge w:val="continue"/>
            <w:vAlign w:val="center"/>
          </w:tcPr>
          <w:p w14:paraId="095AFD99">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仿宋" w:hAnsi="仿宋" w:eastAsia="仿宋"/>
                <w:color w:val="auto"/>
                <w:sz w:val="24"/>
                <w:szCs w:val="24"/>
              </w:rPr>
            </w:pPr>
          </w:p>
        </w:tc>
        <w:tc>
          <w:tcPr>
            <w:tcW w:w="1880" w:type="dxa"/>
            <w:shd w:val="clear" w:color="auto" w:fill="auto"/>
            <w:vAlign w:val="center"/>
          </w:tcPr>
          <w:p w14:paraId="3922A346">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仿宋" w:hAnsi="仿宋" w:eastAsia="仿宋" w:cs="Times New Roman"/>
                <w:color w:val="auto"/>
                <w:sz w:val="24"/>
                <w:szCs w:val="24"/>
              </w:rPr>
            </w:pPr>
            <w:r>
              <w:rPr>
                <w:rFonts w:hint="eastAsia" w:ascii="仿宋" w:hAnsi="仿宋" w:eastAsia="仿宋" w:cs="华文仿宋"/>
                <w:color w:val="auto"/>
                <w:sz w:val="24"/>
                <w:szCs w:val="24"/>
              </w:rPr>
              <w:t>分体空调</w:t>
            </w:r>
          </w:p>
        </w:tc>
        <w:tc>
          <w:tcPr>
            <w:tcW w:w="1703" w:type="dxa"/>
            <w:shd w:val="clear" w:color="auto" w:fill="auto"/>
            <w:vAlign w:val="center"/>
          </w:tcPr>
          <w:p w14:paraId="37CCDD79">
            <w:pPr>
              <w:jc w:val="center"/>
              <w:rPr>
                <w:rFonts w:hint="default" w:ascii="仿宋" w:hAnsi="仿宋" w:eastAsia="仿宋" w:cs="Times New Roman"/>
                <w:color w:val="auto"/>
                <w:sz w:val="24"/>
                <w:szCs w:val="24"/>
                <w:lang w:val="en-US" w:eastAsia="zh-CN"/>
              </w:rPr>
            </w:pPr>
          </w:p>
        </w:tc>
        <w:tc>
          <w:tcPr>
            <w:tcW w:w="1895" w:type="dxa"/>
            <w:shd w:val="clear" w:color="auto" w:fill="auto"/>
            <w:vAlign w:val="center"/>
          </w:tcPr>
          <w:p w14:paraId="45279F2E">
            <w:pPr>
              <w:jc w:val="center"/>
              <w:rPr>
                <w:rFonts w:hint="default" w:ascii="仿宋" w:hAnsi="仿宋" w:eastAsia="仿宋" w:cs="Times New Roman"/>
                <w:color w:val="auto"/>
                <w:sz w:val="24"/>
                <w:szCs w:val="24"/>
                <w:lang w:val="en-US" w:eastAsia="zh-CN"/>
              </w:rPr>
            </w:pPr>
          </w:p>
        </w:tc>
        <w:tc>
          <w:tcPr>
            <w:tcW w:w="1987" w:type="dxa"/>
            <w:shd w:val="clear" w:color="auto" w:fill="auto"/>
            <w:vAlign w:val="center"/>
          </w:tcPr>
          <w:p w14:paraId="686AD697">
            <w:pPr>
              <w:jc w:val="center"/>
              <w:rPr>
                <w:rFonts w:hint="default" w:ascii="仿宋" w:hAnsi="仿宋" w:eastAsia="仿宋" w:cs="Times New Roman"/>
                <w:color w:val="auto"/>
                <w:sz w:val="24"/>
                <w:szCs w:val="24"/>
                <w:lang w:val="en-US" w:eastAsia="zh-CN"/>
              </w:rPr>
            </w:pPr>
          </w:p>
        </w:tc>
      </w:tr>
      <w:tr w14:paraId="2B534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3657" w:type="dxa"/>
            <w:gridSpan w:val="2"/>
            <w:vAlign w:val="center"/>
          </w:tcPr>
          <w:p w14:paraId="55084615">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仿宋" w:hAnsi="仿宋" w:eastAsia="仿宋"/>
                <w:color w:val="auto"/>
                <w:sz w:val="24"/>
                <w:szCs w:val="24"/>
                <w:lang w:val="en-US" w:eastAsia="zh-CN"/>
              </w:rPr>
            </w:pPr>
            <w:r>
              <w:rPr>
                <w:rFonts w:hint="default" w:ascii="仿宋" w:hAnsi="仿宋" w:eastAsia="仿宋"/>
                <w:color w:val="auto"/>
                <w:sz w:val="24"/>
                <w:szCs w:val="24"/>
                <w:lang w:val="en-US" w:eastAsia="zh-CN"/>
              </w:rPr>
              <w:t>水电能耗系统（教学办公区域）</w:t>
            </w:r>
          </w:p>
        </w:tc>
        <w:tc>
          <w:tcPr>
            <w:tcW w:w="1703" w:type="dxa"/>
            <w:vAlign w:val="center"/>
          </w:tcPr>
          <w:p w14:paraId="4F4F1048">
            <w:pPr>
              <w:jc w:val="center"/>
              <w:rPr>
                <w:rFonts w:hint="default" w:ascii="仿宋" w:hAnsi="仿宋" w:eastAsia="仿宋" w:cs="华文仿宋"/>
                <w:color w:val="auto"/>
                <w:sz w:val="24"/>
                <w:szCs w:val="24"/>
                <w:lang w:val="en-US" w:eastAsia="zh-CN"/>
              </w:rPr>
            </w:pPr>
          </w:p>
        </w:tc>
        <w:tc>
          <w:tcPr>
            <w:tcW w:w="1895" w:type="dxa"/>
            <w:vAlign w:val="center"/>
          </w:tcPr>
          <w:p w14:paraId="3247B1AE">
            <w:pPr>
              <w:jc w:val="center"/>
              <w:rPr>
                <w:rFonts w:hint="default" w:ascii="仿宋" w:hAnsi="仿宋" w:eastAsia="仿宋"/>
                <w:color w:val="auto"/>
                <w:sz w:val="24"/>
                <w:szCs w:val="24"/>
                <w:lang w:val="en-US" w:eastAsia="zh-CN"/>
              </w:rPr>
            </w:pPr>
          </w:p>
        </w:tc>
        <w:tc>
          <w:tcPr>
            <w:tcW w:w="1987" w:type="dxa"/>
            <w:vAlign w:val="center"/>
          </w:tcPr>
          <w:p w14:paraId="490A16A7">
            <w:pPr>
              <w:jc w:val="center"/>
              <w:rPr>
                <w:rFonts w:hint="default" w:ascii="仿宋" w:hAnsi="仿宋" w:eastAsia="仿宋"/>
                <w:color w:val="auto"/>
                <w:sz w:val="24"/>
                <w:szCs w:val="24"/>
                <w:lang w:val="en-US" w:eastAsia="zh-CN"/>
              </w:rPr>
            </w:pPr>
          </w:p>
        </w:tc>
      </w:tr>
      <w:tr w14:paraId="689F2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3657" w:type="dxa"/>
            <w:gridSpan w:val="2"/>
            <w:vAlign w:val="center"/>
          </w:tcPr>
          <w:p w14:paraId="52F8C58B">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hint="default" w:ascii="仿宋" w:hAnsi="仿宋" w:eastAsia="仿宋"/>
                <w:color w:val="auto"/>
                <w:sz w:val="24"/>
                <w:szCs w:val="24"/>
                <w:lang w:val="en-US" w:eastAsia="zh-CN"/>
              </w:rPr>
            </w:pPr>
            <w:r>
              <w:rPr>
                <w:rFonts w:hint="default" w:ascii="仿宋" w:hAnsi="仿宋" w:eastAsia="仿宋"/>
                <w:color w:val="auto"/>
                <w:sz w:val="24"/>
                <w:szCs w:val="24"/>
                <w:lang w:val="en-US" w:eastAsia="zh-CN"/>
              </w:rPr>
              <w:t>水电能耗系统（生活服务区域）</w:t>
            </w:r>
          </w:p>
        </w:tc>
        <w:tc>
          <w:tcPr>
            <w:tcW w:w="1703" w:type="dxa"/>
            <w:vAlign w:val="center"/>
          </w:tcPr>
          <w:p w14:paraId="7CA99FED">
            <w:pPr>
              <w:jc w:val="center"/>
              <w:rPr>
                <w:rFonts w:hint="default" w:ascii="仿宋" w:hAnsi="仿宋" w:eastAsia="仿宋" w:cs="华文仿宋"/>
                <w:color w:val="auto"/>
                <w:sz w:val="24"/>
                <w:szCs w:val="24"/>
                <w:lang w:val="en-US" w:eastAsia="zh-CN"/>
              </w:rPr>
            </w:pPr>
          </w:p>
        </w:tc>
        <w:tc>
          <w:tcPr>
            <w:tcW w:w="1895" w:type="dxa"/>
            <w:vAlign w:val="center"/>
          </w:tcPr>
          <w:p w14:paraId="1756233F">
            <w:pPr>
              <w:jc w:val="center"/>
              <w:rPr>
                <w:rFonts w:hint="default" w:ascii="仿宋" w:hAnsi="仿宋" w:eastAsia="仿宋" w:cs="华文仿宋"/>
                <w:color w:val="auto"/>
                <w:sz w:val="24"/>
                <w:szCs w:val="24"/>
                <w:lang w:val="en-US" w:eastAsia="zh-CN"/>
              </w:rPr>
            </w:pPr>
          </w:p>
        </w:tc>
        <w:tc>
          <w:tcPr>
            <w:tcW w:w="1987" w:type="dxa"/>
            <w:vAlign w:val="center"/>
          </w:tcPr>
          <w:p w14:paraId="30A42253">
            <w:pPr>
              <w:jc w:val="center"/>
              <w:rPr>
                <w:rFonts w:hint="default" w:ascii="仿宋" w:hAnsi="仿宋" w:eastAsia="仿宋"/>
                <w:color w:val="auto"/>
                <w:sz w:val="24"/>
                <w:szCs w:val="24"/>
                <w:lang w:val="en-US" w:eastAsia="zh-CN"/>
              </w:rPr>
            </w:pPr>
          </w:p>
        </w:tc>
      </w:tr>
      <w:tr w14:paraId="2FC20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7255" w:type="dxa"/>
            <w:gridSpan w:val="4"/>
            <w:vAlign w:val="center"/>
          </w:tcPr>
          <w:p w14:paraId="6C1632A0">
            <w:pPr>
              <w:keepNext w:val="0"/>
              <w:keepLines w:val="0"/>
              <w:pageBreakBefore w:val="0"/>
              <w:kinsoku/>
              <w:wordWrap/>
              <w:overflowPunct/>
              <w:topLinePunct w:val="0"/>
              <w:autoSpaceDE/>
              <w:autoSpaceDN/>
              <w:bidi w:val="0"/>
              <w:adjustRightInd w:val="0"/>
              <w:snapToGrid w:val="0"/>
              <w:spacing w:beforeAutospacing="0" w:afterAutospacing="0" w:line="240" w:lineRule="auto"/>
              <w:jc w:val="center"/>
              <w:textAlignment w:val="auto"/>
              <w:rPr>
                <w:rFonts w:ascii="仿宋" w:hAnsi="仿宋" w:eastAsia="仿宋" w:cs="华文仿宋"/>
                <w:color w:val="auto"/>
                <w:sz w:val="24"/>
                <w:szCs w:val="24"/>
              </w:rPr>
            </w:pPr>
            <w:r>
              <w:rPr>
                <w:rFonts w:hint="eastAsia" w:ascii="仿宋" w:hAnsi="仿宋" w:eastAsia="仿宋"/>
                <w:color w:val="auto"/>
                <w:sz w:val="24"/>
                <w:szCs w:val="24"/>
              </w:rPr>
              <w:t xml:space="preserve">总 </w:t>
            </w:r>
            <w:r>
              <w:rPr>
                <w:rFonts w:ascii="仿宋" w:hAnsi="仿宋" w:eastAsia="仿宋"/>
                <w:color w:val="auto"/>
                <w:sz w:val="24"/>
                <w:szCs w:val="24"/>
              </w:rPr>
              <w:t xml:space="preserve">   </w:t>
            </w:r>
            <w:r>
              <w:rPr>
                <w:rFonts w:hint="eastAsia" w:ascii="仿宋" w:hAnsi="仿宋" w:eastAsia="仿宋"/>
                <w:color w:val="auto"/>
                <w:sz w:val="24"/>
                <w:szCs w:val="24"/>
              </w:rPr>
              <w:t>计</w:t>
            </w:r>
          </w:p>
        </w:tc>
        <w:tc>
          <w:tcPr>
            <w:tcW w:w="1987" w:type="dxa"/>
            <w:vAlign w:val="center"/>
          </w:tcPr>
          <w:p w14:paraId="5428A3D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center"/>
              <w:textAlignment w:val="auto"/>
              <w:rPr>
                <w:rFonts w:hint="default" w:ascii="仿宋" w:hAnsi="仿宋" w:eastAsia="仿宋" w:cs="宋体"/>
                <w:color w:val="auto"/>
                <w:kern w:val="0"/>
                <w:sz w:val="24"/>
                <w:szCs w:val="24"/>
                <w:lang w:val="en-US" w:eastAsia="zh-CN"/>
              </w:rPr>
            </w:pPr>
          </w:p>
        </w:tc>
      </w:tr>
    </w:tbl>
    <w:p w14:paraId="4E02333A">
      <w:pPr>
        <w:pStyle w:val="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480" w:firstLineChars="200"/>
        <w:textAlignment w:val="auto"/>
        <w:rPr>
          <w:rFonts w:hint="eastAsia" w:ascii="宋体" w:hAnsi="宋体" w:eastAsia="宋体" w:cs="宋体"/>
          <w:color w:val="auto"/>
          <w:sz w:val="24"/>
          <w:szCs w:val="24"/>
        </w:rPr>
      </w:pPr>
    </w:p>
    <w:p w14:paraId="7AA9FEE4">
      <w:pPr>
        <w:pStyle w:val="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textAlignment w:val="auto"/>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注：1、空调节能系统、</w:t>
      </w:r>
      <w:r>
        <w:rPr>
          <w:rFonts w:hint="default" w:ascii="仿宋" w:hAnsi="仿宋" w:eastAsia="仿宋"/>
          <w:color w:val="auto"/>
          <w:sz w:val="24"/>
          <w:szCs w:val="24"/>
          <w:lang w:val="en-US" w:eastAsia="zh-CN"/>
        </w:rPr>
        <w:t>水电能耗系统</w:t>
      </w:r>
      <w:r>
        <w:rPr>
          <w:rFonts w:hint="eastAsia" w:ascii="仿宋" w:hAnsi="仿宋" w:eastAsia="仿宋"/>
          <w:color w:val="auto"/>
          <w:sz w:val="24"/>
          <w:szCs w:val="24"/>
          <w:lang w:val="en-US" w:eastAsia="zh-CN"/>
        </w:rPr>
        <w:t>建设，都包含安装、调试。</w:t>
      </w:r>
    </w:p>
    <w:p w14:paraId="6FB295CE">
      <w:pPr>
        <w:pStyle w:val="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textAlignment w:val="auto"/>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 xml:space="preserve">    2、空调节能管理系统、水电能源计量节能监管系统，可在海洋路校区和文港路校区电脑同时使用。</w:t>
      </w:r>
    </w:p>
    <w:p w14:paraId="1C3C9248">
      <w:pPr>
        <w:pStyle w:val="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textAlignment w:val="auto"/>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3、所有空调控制器、电表、水表、网关、无线管网压力变送器等都</w:t>
      </w:r>
      <w:r>
        <w:rPr>
          <w:rFonts w:hint="eastAsia" w:ascii="仿宋" w:hAnsi="仿宋" w:eastAsia="仿宋"/>
          <w:color w:val="FF0000"/>
          <w:sz w:val="24"/>
          <w:szCs w:val="24"/>
          <w:lang w:val="en-US" w:eastAsia="zh-CN"/>
        </w:rPr>
        <w:t>按照实际安装数量及中标单位投标单价</w:t>
      </w:r>
      <w:r>
        <w:rPr>
          <w:rFonts w:hint="eastAsia" w:ascii="仿宋" w:hAnsi="仿宋" w:eastAsia="仿宋"/>
          <w:color w:val="auto"/>
          <w:sz w:val="24"/>
          <w:szCs w:val="24"/>
          <w:lang w:val="en-US" w:eastAsia="zh-CN"/>
        </w:rPr>
        <w:t>结算。</w:t>
      </w:r>
    </w:p>
    <w:p w14:paraId="55C9EC34">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 w:hAnsi="仿宋" w:eastAsia="仿宋" w:cs="仿宋"/>
          <w:color w:val="333333"/>
          <w:sz w:val="32"/>
          <w:szCs w:val="32"/>
          <w:shd w:val="clear" w:color="auto" w:fill="FFFFFF"/>
          <w:lang w:eastAsia="zh-CN"/>
        </w:rPr>
      </w:pPr>
    </w:p>
    <w:p w14:paraId="571B3C04">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 w:hAnsi="仿宋" w:eastAsia="仿宋" w:cs="仿宋"/>
          <w:color w:val="333333"/>
          <w:sz w:val="32"/>
          <w:szCs w:val="32"/>
          <w:shd w:val="clear" w:color="auto" w:fill="FFFFFF"/>
          <w:lang w:eastAsia="zh-CN"/>
        </w:rPr>
      </w:pPr>
    </w:p>
    <w:p w14:paraId="7583DD3E"/>
    <w:p w14:paraId="784572E4"/>
    <w:p w14:paraId="1088A822"/>
    <w:p w14:paraId="3CBD6901"/>
    <w:p w14:paraId="3FF23E37"/>
    <w:p w14:paraId="716A8552"/>
    <w:p w14:paraId="3EC5AF98"/>
    <w:p w14:paraId="52B81E0C"/>
    <w:p w14:paraId="4E0DBEFF"/>
    <w:p w14:paraId="37647F08"/>
    <w:p w14:paraId="53FB0F5E"/>
    <w:p w14:paraId="348B752E"/>
    <w:p w14:paraId="42A9AE48"/>
    <w:p w14:paraId="6FD04A9A"/>
    <w:p w14:paraId="777F815B">
      <w:pPr>
        <w:sectPr>
          <w:pgSz w:w="11906" w:h="16838"/>
          <w:pgMar w:top="1440" w:right="1800" w:bottom="1440" w:left="1800" w:header="851" w:footer="992" w:gutter="0"/>
          <w:cols w:space="425" w:num="1"/>
          <w:docGrid w:type="lines" w:linePitch="312" w:charSpace="0"/>
        </w:sectPr>
      </w:pPr>
    </w:p>
    <w:p w14:paraId="651E30B9">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color w:val="auto"/>
          <w:kern w:val="44"/>
          <w:sz w:val="28"/>
          <w:szCs w:val="28"/>
          <w:lang w:val="en-US" w:eastAsia="zh-CN"/>
        </w:rPr>
      </w:pPr>
      <w:r>
        <w:rPr>
          <w:rFonts w:hint="eastAsia" w:ascii="黑体" w:hAnsi="黑体" w:eastAsia="黑体" w:cs="黑体"/>
          <w:b/>
          <w:bCs/>
          <w:color w:val="auto"/>
          <w:sz w:val="28"/>
          <w:szCs w:val="28"/>
          <w:lang w:val="en-US" w:eastAsia="zh-CN"/>
        </w:rPr>
        <w:t>一、</w:t>
      </w:r>
      <w:r>
        <w:rPr>
          <w:rFonts w:hint="eastAsia" w:ascii="黑体" w:hAnsi="黑体" w:eastAsia="黑体" w:cs="黑体"/>
          <w:b/>
          <w:bCs/>
          <w:color w:val="auto"/>
          <w:sz w:val="28"/>
          <w:szCs w:val="28"/>
        </w:rPr>
        <w:t>空调节能系统</w:t>
      </w:r>
      <w:r>
        <w:rPr>
          <w:rFonts w:hint="eastAsia" w:ascii="黑体" w:hAnsi="黑体" w:eastAsia="黑体" w:cs="黑体"/>
          <w:b/>
          <w:bCs/>
          <w:color w:val="auto"/>
          <w:sz w:val="28"/>
          <w:szCs w:val="28"/>
          <w:lang w:val="en-US" w:eastAsia="zh-CN"/>
        </w:rPr>
        <w:t>技术参数</w:t>
      </w:r>
    </w:p>
    <w:p w14:paraId="5FEDD90C">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1、海洋路校区中央空调</w:t>
      </w:r>
    </w:p>
    <w:tbl>
      <w:tblPr>
        <w:tblStyle w:val="4"/>
        <w:tblW w:w="14329" w:type="dxa"/>
        <w:tblInd w:w="96" w:type="dxa"/>
        <w:tblLayout w:type="fixed"/>
        <w:tblCellMar>
          <w:top w:w="0" w:type="dxa"/>
          <w:left w:w="108" w:type="dxa"/>
          <w:bottom w:w="0" w:type="dxa"/>
          <w:right w:w="108" w:type="dxa"/>
        </w:tblCellMar>
      </w:tblPr>
      <w:tblGrid>
        <w:gridCol w:w="721"/>
        <w:gridCol w:w="2464"/>
        <w:gridCol w:w="7175"/>
        <w:gridCol w:w="709"/>
        <w:gridCol w:w="850"/>
        <w:gridCol w:w="709"/>
        <w:gridCol w:w="851"/>
        <w:gridCol w:w="850"/>
      </w:tblGrid>
      <w:tr w14:paraId="7865952A">
        <w:tblPrEx>
          <w:tblCellMar>
            <w:top w:w="0" w:type="dxa"/>
            <w:left w:w="108" w:type="dxa"/>
            <w:bottom w:w="0" w:type="dxa"/>
            <w:right w:w="108" w:type="dxa"/>
          </w:tblCellMar>
        </w:tblPrEx>
        <w:trPr>
          <w:trHeight w:val="509"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638A">
            <w:pPr>
              <w:pageBreakBefore w:val="0"/>
              <w:widowControl/>
              <w:kinsoku/>
              <w:wordWrap/>
              <w:overflowPunct/>
              <w:topLinePunct w:val="0"/>
              <w:autoSpaceDE/>
              <w:autoSpaceDN/>
              <w:bidi w:val="0"/>
              <w:adjustRightInd w:val="0"/>
              <w:snapToGrid w:val="0"/>
              <w:spacing w:beforeAutospacing="0" w:afterAutospacing="0" w:line="240" w:lineRule="auto"/>
              <w:textAlignment w:val="center"/>
              <w:rPr>
                <w:rFonts w:hint="eastAsia" w:ascii="宋体" w:hAnsi="宋体" w:eastAsia="宋体" w:cs="宋体"/>
                <w:b/>
                <w:bCs/>
                <w:color w:val="auto"/>
                <w:sz w:val="21"/>
                <w:szCs w:val="21"/>
              </w:rPr>
            </w:pPr>
            <w:bookmarkStart w:id="0" w:name="_Hlk193696779"/>
            <w:r>
              <w:rPr>
                <w:rFonts w:hint="eastAsia" w:ascii="宋体" w:hAnsi="宋体" w:eastAsia="宋体" w:cs="宋体"/>
                <w:b/>
                <w:bCs/>
                <w:color w:val="auto"/>
                <w:kern w:val="0"/>
                <w:sz w:val="21"/>
                <w:szCs w:val="21"/>
                <w:lang w:bidi="ar"/>
              </w:rPr>
              <w:t>序号</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2FFFE">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lang w:bidi="ar"/>
              </w:rPr>
              <w:t>品目名称</w:t>
            </w:r>
          </w:p>
        </w:tc>
        <w:tc>
          <w:tcPr>
            <w:tcW w:w="7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53FD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b/>
                <w:bCs/>
                <w:color w:val="auto"/>
                <w:kern w:val="0"/>
                <w:sz w:val="21"/>
                <w:szCs w:val="21"/>
              </w:rPr>
              <w:t>技术参数</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E88EB">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lang w:bidi="ar"/>
              </w:rPr>
              <w:t>数量</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C299F">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lang w:bidi="ar"/>
              </w:rPr>
              <w:t>单位</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6B9DC">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sz w:val="21"/>
                <w:szCs w:val="21"/>
                <w:lang w:eastAsia="zh-CN"/>
              </w:rPr>
            </w:pPr>
            <w:r>
              <w:rPr>
                <w:rFonts w:hint="eastAsia" w:ascii="宋体" w:hAnsi="宋体" w:eastAsia="宋体" w:cs="宋体"/>
                <w:b/>
                <w:bCs/>
                <w:color w:val="auto"/>
                <w:kern w:val="0"/>
                <w:sz w:val="21"/>
                <w:szCs w:val="21"/>
                <w:lang w:bidi="ar"/>
              </w:rPr>
              <w:t>单价</w:t>
            </w:r>
            <w:r>
              <w:rPr>
                <w:rFonts w:hint="eastAsia" w:ascii="宋体" w:hAnsi="宋体" w:eastAsia="宋体" w:cs="宋体"/>
                <w:b/>
                <w:bCs/>
                <w:color w:val="auto"/>
                <w:kern w:val="0"/>
                <w:sz w:val="21"/>
                <w:szCs w:val="21"/>
                <w:lang w:eastAsia="zh-CN" w:bidi="ar"/>
              </w:rPr>
              <w:t>（</w:t>
            </w:r>
            <w:r>
              <w:rPr>
                <w:rFonts w:hint="eastAsia" w:ascii="宋体" w:hAnsi="宋体" w:eastAsia="宋体" w:cs="宋体"/>
                <w:b/>
                <w:bCs/>
                <w:color w:val="auto"/>
                <w:kern w:val="0"/>
                <w:sz w:val="21"/>
                <w:szCs w:val="21"/>
                <w:lang w:val="en-US" w:eastAsia="zh-CN" w:bidi="ar"/>
              </w:rPr>
              <w:t>元</w:t>
            </w:r>
            <w:r>
              <w:rPr>
                <w:rFonts w:hint="eastAsia" w:ascii="宋体" w:hAnsi="宋体" w:eastAsia="宋体" w:cs="宋体"/>
                <w:b/>
                <w:bCs/>
                <w:color w:val="auto"/>
                <w:kern w:val="0"/>
                <w:sz w:val="21"/>
                <w:szCs w:val="21"/>
                <w:lang w:eastAsia="zh-CN" w:bidi="ar"/>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80CFE">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lang w:bidi="ar"/>
              </w:rPr>
              <w:t>合价</w:t>
            </w:r>
            <w:r>
              <w:rPr>
                <w:rFonts w:hint="eastAsia" w:ascii="宋体" w:hAnsi="宋体" w:eastAsia="宋体" w:cs="宋体"/>
                <w:b/>
                <w:bCs/>
                <w:color w:val="auto"/>
                <w:kern w:val="0"/>
                <w:sz w:val="21"/>
                <w:szCs w:val="21"/>
                <w:lang w:eastAsia="zh-CN" w:bidi="ar"/>
              </w:rPr>
              <w:t>（</w:t>
            </w:r>
            <w:r>
              <w:rPr>
                <w:rFonts w:hint="eastAsia" w:ascii="宋体" w:hAnsi="宋体" w:eastAsia="宋体" w:cs="宋体"/>
                <w:b/>
                <w:bCs/>
                <w:color w:val="auto"/>
                <w:kern w:val="0"/>
                <w:sz w:val="21"/>
                <w:szCs w:val="21"/>
                <w:lang w:val="en-US" w:eastAsia="zh-CN" w:bidi="ar"/>
              </w:rPr>
              <w:t>元</w:t>
            </w:r>
            <w:r>
              <w:rPr>
                <w:rFonts w:hint="eastAsia" w:ascii="宋体" w:hAnsi="宋体" w:eastAsia="宋体" w:cs="宋体"/>
                <w:b/>
                <w:bCs/>
                <w:color w:val="auto"/>
                <w:kern w:val="0"/>
                <w:sz w:val="21"/>
                <w:szCs w:val="21"/>
                <w:lang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34D1">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b/>
                <w:bCs/>
                <w:color w:val="auto"/>
                <w:kern w:val="0"/>
                <w:sz w:val="21"/>
                <w:szCs w:val="21"/>
                <w:lang w:val="en-US" w:eastAsia="zh-CN" w:bidi="ar"/>
              </w:rPr>
              <w:t>备注</w:t>
            </w:r>
          </w:p>
        </w:tc>
      </w:tr>
      <w:tr w14:paraId="753FF2F8">
        <w:tblPrEx>
          <w:tblCellMar>
            <w:top w:w="0" w:type="dxa"/>
            <w:left w:w="108" w:type="dxa"/>
            <w:bottom w:w="0" w:type="dxa"/>
            <w:right w:w="108" w:type="dxa"/>
          </w:tblCellMar>
        </w:tblPrEx>
        <w:trPr>
          <w:trHeight w:val="509"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C46EE">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kern w:val="0"/>
                <w:sz w:val="21"/>
                <w:szCs w:val="21"/>
                <w:lang w:val="en-US" w:eastAsia="zh-CN" w:bidi="ar"/>
              </w:rPr>
            </w:pPr>
            <w:r>
              <w:rPr>
                <w:rFonts w:hint="eastAsia" w:ascii="宋体" w:hAnsi="宋体" w:eastAsia="宋体" w:cs="宋体"/>
                <w:color w:val="auto"/>
                <w:kern w:val="0"/>
                <w:sz w:val="21"/>
                <w:szCs w:val="21"/>
                <w:lang w:val="en-US" w:eastAsia="zh-CN" w:bidi="ar"/>
              </w:rPr>
              <w:t>1</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8F704">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kern w:val="0"/>
                <w:sz w:val="21"/>
                <w:szCs w:val="21"/>
                <w:lang w:bidi="ar"/>
              </w:rPr>
            </w:pPr>
            <w:r>
              <w:rPr>
                <w:rFonts w:hint="eastAsia" w:ascii="宋体" w:hAnsi="宋体" w:eastAsia="宋体" w:cs="宋体"/>
                <w:b w:val="0"/>
                <w:bCs w:val="0"/>
                <w:color w:val="auto"/>
                <w:kern w:val="0"/>
                <w:sz w:val="21"/>
                <w:szCs w:val="21"/>
                <w:lang w:bidi="ar"/>
              </w:rPr>
              <w:t>LCD单元屏</w:t>
            </w:r>
          </w:p>
        </w:tc>
        <w:tc>
          <w:tcPr>
            <w:tcW w:w="7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780F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val="en-US" w:eastAsia="zh-CN"/>
              </w:rPr>
              <w:t>1、</w:t>
            </w:r>
            <w:r>
              <w:rPr>
                <w:rFonts w:hint="eastAsia" w:ascii="宋体" w:hAnsi="宋体" w:eastAsia="宋体" w:cs="宋体"/>
                <w:b/>
                <w:bCs/>
                <w:color w:val="auto"/>
                <w:kern w:val="0"/>
                <w:sz w:val="21"/>
                <w:szCs w:val="21"/>
              </w:rPr>
              <w:t>LCD单元屏</w:t>
            </w:r>
            <w:r>
              <w:rPr>
                <w:rFonts w:hint="eastAsia" w:ascii="宋体" w:hAnsi="宋体" w:eastAsia="宋体" w:cs="宋体"/>
                <w:b/>
                <w:bCs/>
                <w:color w:val="auto"/>
                <w:kern w:val="0"/>
                <w:sz w:val="21"/>
                <w:szCs w:val="21"/>
                <w:lang w:eastAsia="zh-CN"/>
              </w:rPr>
              <w:t>（</w:t>
            </w:r>
            <w:r>
              <w:rPr>
                <w:rFonts w:hint="eastAsia" w:ascii="宋体" w:hAnsi="宋体" w:eastAsia="宋体" w:cs="宋体"/>
                <w:b w:val="0"/>
                <w:bCs w:val="0"/>
                <w:color w:val="auto"/>
                <w:kern w:val="0"/>
                <w:sz w:val="21"/>
                <w:szCs w:val="21"/>
                <w:lang w:val="en-US" w:eastAsia="zh-CN"/>
              </w:rPr>
              <w:t>数量：9块）</w:t>
            </w:r>
            <w:r>
              <w:rPr>
                <w:rFonts w:hint="eastAsia" w:ascii="宋体" w:hAnsi="宋体" w:eastAsia="宋体" w:cs="宋体"/>
                <w:b/>
                <w:bCs/>
                <w:color w:val="auto"/>
                <w:kern w:val="0"/>
                <w:sz w:val="21"/>
                <w:szCs w:val="21"/>
                <w:lang w:eastAsia="zh-CN"/>
              </w:rPr>
              <w:t>：</w:t>
            </w:r>
          </w:p>
          <w:p w14:paraId="04BB1FA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产品尺寸：55吋</w:t>
            </w:r>
          </w:p>
          <w:p w14:paraId="61404FE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双边拼缝：3.5mm</w:t>
            </w:r>
          </w:p>
          <w:p w14:paraId="71C58AF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分辨率：1920*1080</w:t>
            </w:r>
          </w:p>
          <w:p w14:paraId="3DF7500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亮度：500cd/m2</w:t>
            </w:r>
          </w:p>
          <w:p w14:paraId="2847A9C6">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对比度：4000:1</w:t>
            </w:r>
          </w:p>
          <w:p w14:paraId="4A2EFE4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色彩范围：8bit</w:t>
            </w:r>
          </w:p>
          <w:p w14:paraId="3658806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刷新率：60Hz</w:t>
            </w:r>
          </w:p>
          <w:p w14:paraId="1FBD8C3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功耗：155W</w:t>
            </w:r>
          </w:p>
          <w:p w14:paraId="67F760D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视角：178°(水平)/ 178°</w:t>
            </w:r>
          </w:p>
          <w:p w14:paraId="728D0F0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供电方式：100–240VAC，50/60Hz</w:t>
            </w:r>
          </w:p>
          <w:p w14:paraId="4D7ACE6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工作温度：0℃～+50℃</w:t>
            </w:r>
          </w:p>
          <w:p w14:paraId="3FFB9E7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工作湿度：20%～90%RH（无凝结）</w:t>
            </w:r>
          </w:p>
          <w:p w14:paraId="4DAE30D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储存温度：–20℃～+55℃</w:t>
            </w:r>
          </w:p>
          <w:p w14:paraId="2AB0F3E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储存湿度：5%～95%RH（无凝结）</w:t>
            </w:r>
          </w:p>
          <w:p w14:paraId="5F04D56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输入接口：VGA*1、CVBS*1、DVI-D*1、HDMI*1、RS232(RJ45)*1、USB（升级和多媒体）、IR*1</w:t>
            </w:r>
          </w:p>
          <w:p w14:paraId="5AB3B1F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输出接口：RS232(RJ45)*1</w:t>
            </w:r>
          </w:p>
          <w:p w14:paraId="4C1F9FE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lang w:eastAsia="zh-CN"/>
              </w:rPr>
            </w:pPr>
            <w:r>
              <w:rPr>
                <w:rFonts w:hint="eastAsia" w:ascii="宋体" w:hAnsi="宋体" w:eastAsia="宋体" w:cs="宋体"/>
                <w:b/>
                <w:bCs/>
                <w:color w:val="auto"/>
                <w:kern w:val="0"/>
                <w:sz w:val="21"/>
                <w:szCs w:val="21"/>
                <w:lang w:val="en-US" w:eastAsia="zh-CN"/>
              </w:rPr>
              <w:t>2、</w:t>
            </w:r>
            <w:r>
              <w:rPr>
                <w:rFonts w:hint="eastAsia" w:ascii="宋体" w:hAnsi="宋体" w:eastAsia="宋体" w:cs="宋体"/>
                <w:b/>
                <w:bCs/>
                <w:color w:val="auto"/>
                <w:kern w:val="0"/>
                <w:sz w:val="21"/>
                <w:szCs w:val="21"/>
              </w:rPr>
              <w:t>解码器</w:t>
            </w:r>
            <w:r>
              <w:rPr>
                <w:rFonts w:hint="eastAsia" w:ascii="宋体" w:hAnsi="宋体" w:eastAsia="宋体" w:cs="宋体"/>
                <w:b/>
                <w:bCs/>
                <w:color w:val="auto"/>
                <w:kern w:val="0"/>
                <w:sz w:val="21"/>
                <w:szCs w:val="21"/>
                <w:lang w:eastAsia="zh-CN"/>
              </w:rPr>
              <w:t>：</w:t>
            </w:r>
            <w:r>
              <w:rPr>
                <w:rFonts w:hint="eastAsia" w:ascii="宋体" w:hAnsi="宋体" w:eastAsia="宋体" w:cs="宋体"/>
                <w:b w:val="0"/>
                <w:bCs w:val="0"/>
                <w:color w:val="auto"/>
                <w:kern w:val="0"/>
                <w:sz w:val="21"/>
                <w:szCs w:val="21"/>
                <w:lang w:eastAsia="zh-CN"/>
              </w:rPr>
              <w:t>画面分割：单屏支持1/4/6/8/9/16/25/36固定分割支持M×N自定义分割，M×N≤36；</w:t>
            </w:r>
          </w:p>
          <w:p w14:paraId="6919594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lang w:eastAsia="zh-CN"/>
              </w:rPr>
            </w:pPr>
            <w:r>
              <w:rPr>
                <w:rFonts w:hint="eastAsia" w:ascii="宋体" w:hAnsi="宋体" w:eastAsia="宋体" w:cs="宋体"/>
                <w:b w:val="0"/>
                <w:bCs w:val="0"/>
                <w:color w:val="auto"/>
                <w:kern w:val="0"/>
                <w:sz w:val="21"/>
                <w:szCs w:val="21"/>
                <w:lang w:eastAsia="zh-CN"/>
              </w:rPr>
              <w:t>视频压缩标准：H.265；H.264；MJPEG；MPEG4；SVAC；MPEG2；</w:t>
            </w:r>
          </w:p>
          <w:p w14:paraId="21073D2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lang w:eastAsia="zh-CN"/>
              </w:rPr>
            </w:pPr>
            <w:r>
              <w:rPr>
                <w:rFonts w:hint="eastAsia" w:ascii="宋体" w:hAnsi="宋体" w:eastAsia="宋体" w:cs="宋体"/>
                <w:b w:val="0"/>
                <w:bCs w:val="0"/>
                <w:color w:val="auto"/>
                <w:kern w:val="0"/>
                <w:sz w:val="21"/>
                <w:szCs w:val="21"/>
                <w:lang w:eastAsia="zh-CN"/>
              </w:rPr>
              <w:t>解码能力：整机解码H265支持3路32MP@25fps；9路12MP@25fps；14路8MP@25fps；18路6MP@25fps；24路5MP@25fps；29路4MP@25fps；37路3MP@25fps；57路1080p@25fps；192路D1@25fps（H264支持47路1080p@25fps解码能力）；</w:t>
            </w:r>
          </w:p>
          <w:p w14:paraId="43577E9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lang w:eastAsia="zh-CN"/>
              </w:rPr>
            </w:pPr>
            <w:r>
              <w:rPr>
                <w:rFonts w:hint="eastAsia" w:ascii="宋体" w:hAnsi="宋体" w:eastAsia="宋体" w:cs="宋体"/>
                <w:b w:val="0"/>
                <w:bCs w:val="0"/>
                <w:color w:val="auto"/>
                <w:kern w:val="0"/>
                <w:sz w:val="21"/>
                <w:szCs w:val="21"/>
                <w:lang w:eastAsia="zh-CN"/>
              </w:rPr>
              <w:t>视频输出路数：9路HDMI</w:t>
            </w:r>
          </w:p>
          <w:p w14:paraId="0060B87F">
            <w:pPr>
              <w:pageBreakBefore w:val="0"/>
              <w:numPr>
                <w:ilvl w:val="0"/>
                <w:numId w:val="0"/>
              </w:numPr>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3、LCD支架，LCD主线材辅材及件</w:t>
            </w:r>
          </w:p>
          <w:p w14:paraId="6B91DE3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4、电脑+27寸显示器：14代i7，32G内存，1T固态，品牌电脑。</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3BAEC">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1</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3C87A">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val="0"/>
                <w:bCs w:val="0"/>
                <w:color w:val="auto"/>
                <w:kern w:val="0"/>
                <w:sz w:val="21"/>
                <w:szCs w:val="21"/>
                <w:lang w:bidi="ar"/>
              </w:rPr>
            </w:pPr>
            <w:r>
              <w:rPr>
                <w:rFonts w:hint="eastAsia" w:ascii="宋体" w:hAnsi="宋体" w:eastAsia="宋体" w:cs="宋体"/>
                <w:b w:val="0"/>
                <w:bCs w:val="0"/>
                <w:color w:val="auto"/>
                <w:kern w:val="0"/>
                <w:sz w:val="21"/>
                <w:szCs w:val="21"/>
                <w:lang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A0F61">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val="0"/>
                <w:bCs w:val="0"/>
                <w:color w:val="auto"/>
                <w:kern w:val="0"/>
                <w:sz w:val="21"/>
                <w:szCs w:val="21"/>
                <w:lang w:val="en-US" w:eastAsia="zh-CN" w:bidi="ar"/>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C421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val="0"/>
                <w:bCs w:val="0"/>
                <w:color w:val="auto"/>
                <w:kern w:val="0"/>
                <w:sz w:val="21"/>
                <w:szCs w:val="21"/>
                <w:lang w:val="en-US" w:eastAsia="zh-CN" w:bidi="ar"/>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CC9BF">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kern w:val="0"/>
                <w:sz w:val="21"/>
                <w:szCs w:val="21"/>
                <w:lang w:val="en-US" w:eastAsia="zh-CN" w:bidi="ar"/>
              </w:rPr>
            </w:pPr>
          </w:p>
        </w:tc>
      </w:tr>
      <w:tr w14:paraId="56E8846A">
        <w:tblPrEx>
          <w:tblCellMar>
            <w:top w:w="0" w:type="dxa"/>
            <w:left w:w="108" w:type="dxa"/>
            <w:bottom w:w="0" w:type="dxa"/>
            <w:right w:w="108" w:type="dxa"/>
          </w:tblCellMar>
        </w:tblPrEx>
        <w:trPr>
          <w:trHeight w:val="509"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48160">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lang w:val="en-US" w:eastAsia="zh-CN" w:bidi="ar"/>
              </w:rPr>
              <w:t>2</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D9986">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空调节能管理系统平台</w:t>
            </w:r>
          </w:p>
        </w:tc>
        <w:tc>
          <w:tcPr>
            <w:tcW w:w="7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785D5">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1、系统符合GB/T 2423.2-2008《电工电子产品环境试验第2部分：试验方法试验B:《高温》 </w:t>
            </w:r>
          </w:p>
          <w:p w14:paraId="4804389A">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《能源计量节能监管系统技术条件》</w:t>
            </w:r>
          </w:p>
          <w:p w14:paraId="71A51C9C">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2、系统设计采用B/S架构，无需安装客户端，通过浏览器用户就可以完成配置、设置、查询、控制等所有操作。并可支持更多用户同时在线。系统支持分体空调及VRV多联机空调的远程开启关闭管理a） 可根据设定的运行温度和人体识别实现空调节能运行，</w:t>
            </w:r>
          </w:p>
          <w:p w14:paraId="083047FF">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3、根据人员进入、离开进行联动，及时关闭，避免浪费</w:t>
            </w:r>
          </w:p>
          <w:p w14:paraId="28E7789C">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4、显示空调设备数量、教室数量、当前运行关闭的空调数量、运行维护信息等。</w:t>
            </w:r>
          </w:p>
          <w:p w14:paraId="34996E0E">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5、为方便统计管理，系统记录并计算了所有空调每天的累计开机时长，并以图表的形式展示。</w:t>
            </w:r>
          </w:p>
          <w:p w14:paraId="467E1BBB">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6、展示出各检测时间点运行的空调的数量。</w:t>
            </w:r>
          </w:p>
          <w:p w14:paraId="0CA1BD81">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7、按日、周、月查询某一空调的运行状态及统计图，查询运行状态改变时的具体时间、操作人员、操作时间、操作方式、操作详情。</w:t>
            </w:r>
          </w:p>
          <w:p w14:paraId="0552963F">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8、按校区、楼号、楼层、班级、设备分级管理。</w:t>
            </w:r>
          </w:p>
          <w:p w14:paraId="0247FC1E">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设置群控可以同时操控该目录下的所有设备，在控制时需要先调整空调的状态。对上下课进行操控，上课时统一开启空调到系统指定的预设模式，下课统一关闭所在目录下的所有空调。</w:t>
            </w:r>
          </w:p>
          <w:p w14:paraId="78E86CD8">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9、支持对单个设备进行操控，直接点击对应的状态按钮对空调进行调节。支持统一关机任务，建立此任务后，当状态显示“正常”，定时关机任务会定时执行。更新空调在线数量、运行数量、空调运行状态的更新任务，可即时获取整个系统的运行空调数量。</w:t>
            </w:r>
          </w:p>
          <w:p w14:paraId="52F73D5F">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10、系统通过计算机可实现远程监控功能：</w:t>
            </w:r>
          </w:p>
          <w:p w14:paraId="5EB7F955">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a）支持实施远程设置、远程查看工作状态、违规记录和远程开关房间电源； </w:t>
            </w:r>
          </w:p>
          <w:p w14:paraId="62810B80">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b）支持远程查看当前电流电压、功率等参数；</w:t>
            </w:r>
          </w:p>
          <w:p w14:paraId="06F44C04">
            <w:pPr>
              <w:pageBreakBefore w:val="0"/>
              <w:widowControl/>
              <w:kinsoku/>
              <w:wordWrap/>
              <w:overflowPunct/>
              <w:topLinePunct w:val="0"/>
              <w:autoSpaceDE/>
              <w:autoSpaceDN/>
              <w:bidi w:val="0"/>
              <w:adjustRightInd w:val="0"/>
              <w:snapToGrid w:val="0"/>
              <w:spacing w:beforeAutospacing="0" w:afterAutospacing="0" w:line="240" w:lineRule="auto"/>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C)以学校、楼栋、楼层、房间的层级方式来查看每个房间中的余额、电表、电表示数、端口号、电表状态、最后通讯时间。 其中电表状态包括（正常打开、强制打开、过流关断、负载  关断、强制关断、欠费关断、定时关断、超温关断、保电 9  种状态）。可以点击更多，实时查看当前每个电表的本月用  量、总用量、当前示数、实时电压、实时电流、实时功率、  电表温度、该房间电价、最后通讯时间、所应用的情景模式、 当天功率曲线图，也可以实时强开、强关、硬件控制、复位该房间电表。</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9B728">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1</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31CCD">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5941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A61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69BC">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p w14:paraId="46EE357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r>
      <w:tr w14:paraId="34531520">
        <w:tblPrEx>
          <w:tblCellMar>
            <w:top w:w="0" w:type="dxa"/>
            <w:left w:w="108" w:type="dxa"/>
            <w:bottom w:w="0" w:type="dxa"/>
            <w:right w:w="108" w:type="dxa"/>
          </w:tblCellMar>
        </w:tblPrEx>
        <w:trPr>
          <w:trHeight w:val="509"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9404E">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4B3B9">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多联机空调控制器</w:t>
            </w:r>
          </w:p>
        </w:tc>
        <w:tc>
          <w:tcPr>
            <w:tcW w:w="7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7D55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 xml:space="preserve">1、远程监测所有区域空调设备运行状态，集中空调开关、 切换运行模式、调节风速、温度并锁定操作。 </w:t>
            </w:r>
          </w:p>
          <w:p w14:paraId="7837A72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 xml:space="preserve">2、 锁定控制，批量选定空调内机，锁定内机开关状态、 制冷/热模式、温度上下限值等，不允许个人在面板上 随意调节，造成故障、能源浪费等现象。 </w:t>
            </w:r>
          </w:p>
          <w:p w14:paraId="2DBA0C1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 xml:space="preserve">3、群组控制，可一键集中控制所有内机，也可以按需求 分组、分区域进行一键管理。 </w:t>
            </w:r>
          </w:p>
          <w:p w14:paraId="611FEB6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4、电量计量，根据每台外机的电表读数，精准分摊每台 内机用电量。</w:t>
            </w:r>
          </w:p>
          <w:p w14:paraId="08AC5C6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5、定时控制，分区设置空调设备定时开关时</w:t>
            </w:r>
          </w:p>
          <w:p w14:paraId="458EB11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6、实时上报空调故障代码，故障分析</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9DF25">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lang w:bidi="ar"/>
              </w:rPr>
              <w:t>1</w:t>
            </w:r>
            <w:r>
              <w:rPr>
                <w:rFonts w:hint="eastAsia" w:ascii="宋体" w:hAnsi="宋体" w:eastAsia="宋体" w:cs="宋体"/>
                <w:color w:val="auto"/>
                <w:kern w:val="0"/>
                <w:sz w:val="21"/>
                <w:szCs w:val="21"/>
                <w:lang w:val="en-US" w:eastAsia="zh-CN" w:bidi="ar"/>
              </w:rPr>
              <w:t>35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B96DC">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90110">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88BA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2670F">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r>
      <w:tr w14:paraId="40147DF5">
        <w:tblPrEx>
          <w:tblCellMar>
            <w:top w:w="0" w:type="dxa"/>
            <w:left w:w="108" w:type="dxa"/>
            <w:bottom w:w="0" w:type="dxa"/>
            <w:right w:w="108" w:type="dxa"/>
          </w:tblCellMar>
        </w:tblPrEx>
        <w:trPr>
          <w:trHeight w:val="509"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4B26C">
            <w:pPr>
              <w:pageBreakBefore w:val="0"/>
              <w:widowControl/>
              <w:kinsoku/>
              <w:wordWrap/>
              <w:overflowPunct/>
              <w:topLinePunct w:val="0"/>
              <w:autoSpaceDE/>
              <w:autoSpaceDN/>
              <w:bidi w:val="0"/>
              <w:adjustRightInd w:val="0"/>
              <w:snapToGrid w:val="0"/>
              <w:spacing w:beforeAutospacing="0" w:afterAutospacing="0" w:line="240" w:lineRule="auto"/>
              <w:ind w:firstLine="210" w:firstLineChars="100"/>
              <w:textAlignment w:val="center"/>
              <w:rPr>
                <w:rFonts w:hint="eastAsia" w:ascii="宋体" w:hAnsi="宋体" w:eastAsia="宋体" w:cs="宋体"/>
                <w:color w:val="auto"/>
                <w:kern w:val="0"/>
                <w:sz w:val="21"/>
                <w:szCs w:val="21"/>
                <w:lang w:eastAsia="zh-CN" w:bidi="ar"/>
              </w:rPr>
            </w:pPr>
            <w:r>
              <w:rPr>
                <w:rFonts w:hint="eastAsia" w:ascii="宋体" w:hAnsi="宋体" w:eastAsia="宋体" w:cs="宋体"/>
                <w:color w:val="auto"/>
                <w:kern w:val="0"/>
                <w:sz w:val="21"/>
                <w:szCs w:val="21"/>
                <w:lang w:val="en-US" w:eastAsia="zh-CN" w:bidi="ar"/>
              </w:rPr>
              <w:t>4</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E2B3C">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spacing w:val="6"/>
                <w:sz w:val="21"/>
                <w:szCs w:val="21"/>
              </w:rPr>
              <w:t>4G</w:t>
            </w:r>
            <w:r>
              <w:rPr>
                <w:rFonts w:hint="eastAsia" w:ascii="宋体" w:hAnsi="宋体" w:eastAsia="宋体" w:cs="宋体"/>
                <w:color w:val="auto"/>
                <w:kern w:val="0"/>
                <w:sz w:val="21"/>
                <w:szCs w:val="21"/>
                <w:lang w:bidi="ar"/>
              </w:rPr>
              <w:t>三相智能电表</w:t>
            </w:r>
          </w:p>
        </w:tc>
        <w:tc>
          <w:tcPr>
            <w:tcW w:w="7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1C2B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1、型号规格： 3×220/380V  0.015-0.075(6)A、 0.05-0.25(60)A、0.1-0.5(100)A</w:t>
            </w:r>
          </w:p>
          <w:p w14:paraId="7AAFB62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2、准确度等级/最大允许误差：有功C级</w:t>
            </w:r>
          </w:p>
          <w:p w14:paraId="442ACFA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3、电表符合DL/T 1485-2015《三相智能电能表技术规范》、DL/T 1489-2015《三相智能电能表型式规范》、DL/T 1490-2015《智能电能表功能规范》、GB/T 17215.321-2021《电测量设备(交流)特殊要求第21部分：静止式有功电能表(A 级、B级、C级、D级和E级)》，GB/T 17215.211-2021《电测量设备(交流)通用要求、试验和试验条件第11部分：测量 设备》，DL/T614-2007《多功能电能表》，《三相四线费控智能电能表测试大纲》</w:t>
            </w:r>
          </w:p>
          <w:p w14:paraId="7B9D9F8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4、电表在70℃的高温试验下，持续保持2h，电表能正常工作。</w:t>
            </w:r>
          </w:p>
          <w:p w14:paraId="466D0AB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5、电表在-40℃的低温试验下，持续保持2h，电表能正常工作。电表有功功耗≤0.25W，视在功耗≤1VA</w:t>
            </w:r>
          </w:p>
          <w:p w14:paraId="2095D0E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6、电表在参比温度下，仪表内部时钟准确度应优于±0.5 s/24 h。</w:t>
            </w:r>
          </w:p>
          <w:p w14:paraId="7E8EB48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7、电表在仪表额定温度范围内，内部时钟准确度应优于±1 s/24 h。</w:t>
            </w:r>
          </w:p>
          <w:p w14:paraId="59DCF37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8、电表安装尺寸为290mm±1mm(高)×170mm± 1mm(宽)×85mm±1mm(厚)</w:t>
            </w:r>
          </w:p>
          <w:p w14:paraId="785BC69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9、电表可计量总及各费率的正向、反向、 组合有功的电量，有功组合方式可  设 置 ；</w:t>
            </w:r>
          </w:p>
          <w:p w14:paraId="7DFC66A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电表可计量总及各费率的四象限无功和  组合无功I/II的电量，组合无功方式 可设置 ；</w:t>
            </w:r>
          </w:p>
          <w:p w14:paraId="11D529A6">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电表可计量A、B、C三相的正反向有功 和四象限无功总电量；</w:t>
            </w:r>
          </w:p>
          <w:p w14:paraId="788AA3D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10、电表可存储当前及上12个结算日的电量  数据；数据转存时间默认为月初0时 (月末24时),用户可根据实际需求设置其它(1~28日)任意时刻。</w:t>
            </w:r>
          </w:p>
          <w:p w14:paraId="03B5020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11、电表实时测量A、B、C各相的电压、电流、相角、视在功率、有功功率、 无功功率、功率因數及电网频率，并且显示功率的方向。</w:t>
            </w:r>
          </w:p>
          <w:p w14:paraId="24ED7AF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12、越限监测功能：可对各相电压、电 流等参数设置阀值进行监视，通过监测该量值是否超出或低于预先设 定的限值，以事件方式进行记录。</w:t>
            </w:r>
          </w:p>
          <w:p w14:paraId="05A2595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13、电表可记录总及各费率正、反向有功、四象限无功、组合无功最大需量及其发生时间；</w:t>
            </w:r>
          </w:p>
          <w:p w14:paraId="6261976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14、电能表可支持四种费率(尖、峰、 平、谷)切换。电能具有两套时区表和两套日时段表方案，两套方案各自带有切换时间(年 月日时分),可通过预先设置切换时间实现两套费率方案的自动切换每套费率时段方案全年最大可设置14个时区，各个时区设置起始日期及使用的日时段表号。每天可以设置14个时段，各个时段设置起始时间及使用的费率。时段最小间隔为 15分钟(由上位机设置软件控制), 可跨越零点设置。</w:t>
            </w:r>
          </w:p>
          <w:p w14:paraId="52AC0E4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15、 电能具有节假日和周休日特殊费率时段功能。最大可设置254个节假日费率数据。</w:t>
            </w:r>
          </w:p>
          <w:p w14:paraId="32CF4C3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16、仪表具有RS-48S通信接口和红外通信接口，支持DL/T645规约，可进行参数设置、数据采集等功能。通信可设置。具有可热插拔通讯无线模块接口。通信信道物理层相互独立，任意一条通信信道的损坏不影响其它信道正常工作。</w:t>
            </w:r>
          </w:p>
          <w:p w14:paraId="13D4155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17、电能具有LCD液品显示屏，可分自动循显和按键显示两种方式。按键显示时LCD启动背光灯，停电后，显示自动关闭，可通过按键方式唤醒显示。</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D289F">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1</w:t>
            </w:r>
            <w:r>
              <w:rPr>
                <w:rFonts w:hint="eastAsia" w:ascii="宋体" w:hAnsi="宋体" w:eastAsia="宋体" w:cs="宋体"/>
                <w:color w:val="auto"/>
                <w:kern w:val="0"/>
                <w:sz w:val="21"/>
                <w:szCs w:val="21"/>
                <w:lang w:val="en-US" w:eastAsia="zh-CN" w:bidi="ar"/>
              </w:rPr>
              <w:t>35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A3E7A">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0F05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4082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F1D0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r>
      <w:tr w14:paraId="2CD7C428">
        <w:tblPrEx>
          <w:tblCellMar>
            <w:top w:w="0" w:type="dxa"/>
            <w:left w:w="108" w:type="dxa"/>
            <w:bottom w:w="0" w:type="dxa"/>
            <w:right w:w="108" w:type="dxa"/>
          </w:tblCellMar>
        </w:tblPrEx>
        <w:trPr>
          <w:trHeight w:val="50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2A21C">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eastAsia="zh-CN" w:bidi="ar"/>
              </w:rPr>
            </w:pPr>
            <w:r>
              <w:rPr>
                <w:rFonts w:hint="eastAsia" w:ascii="宋体" w:hAnsi="宋体" w:eastAsia="宋体" w:cs="宋体"/>
                <w:color w:val="auto"/>
                <w:kern w:val="0"/>
                <w:sz w:val="21"/>
                <w:szCs w:val="21"/>
                <w:lang w:val="en-US" w:eastAsia="zh-CN" w:bidi="ar"/>
              </w:rPr>
              <w:t>5</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0B003">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数据网关</w:t>
            </w:r>
          </w:p>
        </w:tc>
        <w:tc>
          <w:tcPr>
            <w:tcW w:w="7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B5DE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1、GB/T 2423.1-2008 《电工电子产品环境试验第2部分：试验方法试验A:低温》</w:t>
            </w:r>
          </w:p>
          <w:p w14:paraId="1D528EE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GB/T 2423.2-2008 《电工电子产品环境试验第2部分：试验方法试验B:高温》</w:t>
            </w:r>
          </w:p>
          <w:p w14:paraId="6CC14DE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GB/T 2423.3-2016 《环境试验第2部分：试验方法试验Cab:恒定湿热试验》</w:t>
            </w:r>
          </w:p>
          <w:p w14:paraId="27EE5C8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GB/T 2423.10-2008《电工电子产品环境试验第2部分：试验方法试验Fc:振动(正弦)》</w:t>
            </w:r>
          </w:p>
          <w:p w14:paraId="140B081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2、CPU：采用4核A9、主频最高1.4GHz；</w:t>
            </w:r>
          </w:p>
          <w:p w14:paraId="295DCD0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3、内存：采用512MB DDR3内存</w:t>
            </w:r>
          </w:p>
          <w:p w14:paraId="658C155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4、存储：配置4GB存储，可扩展至128GB</w:t>
            </w:r>
          </w:p>
          <w:p w14:paraId="37394DE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5、操作系统：支持Linux 3.4.39、支持Ubuntu 14.04</w:t>
            </w:r>
          </w:p>
          <w:p w14:paraId="03A0561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6、网 口：具有2个100M/10M自适应Ethernet网口 支持AUTO MDI/MDIX双级抗雷防护</w:t>
            </w:r>
          </w:p>
          <w:p w14:paraId="31BB781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7、无线传输：具有标准SIM卡(全网通)卡槽，具有4G天线 SMA接口，插入流量卡可实现无线传输</w:t>
            </w:r>
          </w:p>
          <w:p w14:paraId="0720B8F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8、RS485 接口：具有4个RS485接口(支持收发指示灯)</w:t>
            </w:r>
          </w:p>
          <w:p w14:paraId="2EDF04A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9、RS232 接口：具有4个RS232接口(与RS485为复用关系)</w:t>
            </w:r>
          </w:p>
          <w:p w14:paraId="223EC4E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10、M-BUS 接口：具有1个M-BUS接口</w:t>
            </w:r>
          </w:p>
          <w:p w14:paraId="7D5D5DB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11、TF卡接 口：具有1个自弹TF卡座支持TF卡扩展存储(最 大扩展128GB)</w:t>
            </w:r>
          </w:p>
          <w:p w14:paraId="70AD72A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12、USB  HOST 接口：</w:t>
            </w:r>
          </w:p>
          <w:p w14:paraId="5FF68A9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1）具有1个USB HOST接口支持扩展USB外设；</w:t>
            </w:r>
          </w:p>
          <w:p w14:paraId="3CBB69A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2）具有输出过载保护功能；</w:t>
            </w:r>
          </w:p>
          <w:p w14:paraId="551A19B6">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3）对外输出电源可编程开关控制；</w:t>
            </w:r>
          </w:p>
          <w:p w14:paraId="30CF89D6">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4）支持三种芯片的USB无线网卡，芯片分别为 RTL8188EU、RTL8192EU和MT7601U。</w:t>
            </w:r>
          </w:p>
          <w:p w14:paraId="633F97C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13、Console UART接口：Console UART接口对外接口为Type-C,内部集 成USB转串口芯片</w:t>
            </w:r>
          </w:p>
          <w:p w14:paraId="08025A1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14、数据网关每个串口应不低于32个终端设备(每个 RS485接口)</w:t>
            </w:r>
          </w:p>
          <w:p w14:paraId="0C5FA2B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15、数据网关支持最大采集速率115200bps</w:t>
            </w:r>
          </w:p>
          <w:p w14:paraId="42E9793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16、数据网关能在AC 198V～242V范围内正常工作；</w:t>
            </w:r>
          </w:p>
          <w:p w14:paraId="5C724E8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17、数据网关功耗≤3.0W；</w:t>
            </w:r>
          </w:p>
          <w:p w14:paraId="27E8977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18、数据网关尺寸(L×W×H)</w:t>
            </w:r>
            <w:r>
              <w:rPr>
                <w:rFonts w:hint="eastAsia" w:ascii="宋体" w:hAnsi="宋体" w:eastAsia="宋体" w:cs="宋体"/>
                <w:color w:val="auto"/>
                <w:sz w:val="21"/>
                <w:szCs w:val="21"/>
              </w:rPr>
              <w:tab/>
            </w:r>
            <w:r>
              <w:rPr>
                <w:rFonts w:hint="eastAsia" w:ascii="宋体" w:hAnsi="宋体" w:eastAsia="宋体" w:cs="宋体"/>
                <w:color w:val="auto"/>
                <w:sz w:val="21"/>
                <w:szCs w:val="21"/>
              </w:rPr>
              <w:t>为144×83.5×27mm含挂耳，数据网关整机重量</w:t>
            </w:r>
            <w:r>
              <w:rPr>
                <w:rFonts w:hint="eastAsia" w:ascii="宋体" w:hAnsi="宋体" w:eastAsia="宋体" w:cs="宋体"/>
                <w:color w:val="auto"/>
                <w:sz w:val="21"/>
                <w:szCs w:val="21"/>
              </w:rPr>
              <w:tab/>
            </w:r>
            <w:r>
              <w:rPr>
                <w:rFonts w:hint="eastAsia" w:ascii="宋体" w:hAnsi="宋体" w:eastAsia="宋体" w:cs="宋体"/>
                <w:color w:val="auto"/>
                <w:sz w:val="21"/>
                <w:szCs w:val="21"/>
              </w:rPr>
              <w:t>360g；</w:t>
            </w:r>
          </w:p>
          <w:p w14:paraId="799AF78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19、、数据网关接触电流</w:t>
            </w:r>
            <w:r>
              <w:rPr>
                <w:rFonts w:hint="eastAsia" w:ascii="宋体" w:hAnsi="宋体" w:eastAsia="宋体" w:cs="宋体"/>
                <w:color w:val="auto"/>
                <w:sz w:val="21"/>
                <w:szCs w:val="21"/>
              </w:rPr>
              <w:tab/>
            </w:r>
            <w:r>
              <w:rPr>
                <w:rFonts w:hint="eastAsia" w:ascii="宋体" w:hAnsi="宋体" w:eastAsia="宋体" w:cs="宋体"/>
                <w:color w:val="auto"/>
                <w:sz w:val="21"/>
                <w:szCs w:val="21"/>
              </w:rPr>
              <w:t>≤3.5mA</w:t>
            </w:r>
          </w:p>
          <w:p w14:paraId="62B7DDD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20、数据网关交流电源输入端与金属外壳之间，应能承受 AC 1500V、50Hz的试验电压，1min内无击穿；</w:t>
            </w:r>
          </w:p>
          <w:p w14:paraId="593295A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21、数据网关应能承受接触放电试验，放电位置在对正常使用中手可能接触到的导电表面(点)及耦合板在放电电压6kV下，经过正负极性各10次，放电时间间隔1s的接触放电下，试验后应能正常工作；</w:t>
            </w:r>
          </w:p>
          <w:p w14:paraId="0460F3B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22、数据网关应能承受空气放电试验，放电位置在对面板上缝隙、孔，在放电电压8kV下，经过正负极性各10次放电时间间隔1s的空气放电下，试验后应能正常工作；</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CF2E7">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eastAsia="zh-CN" w:bidi="ar"/>
              </w:rPr>
            </w:pPr>
            <w:r>
              <w:rPr>
                <w:rFonts w:hint="eastAsia" w:ascii="宋体" w:hAnsi="宋体" w:eastAsia="宋体" w:cs="宋体"/>
                <w:color w:val="auto"/>
                <w:kern w:val="0"/>
                <w:sz w:val="21"/>
                <w:szCs w:val="21"/>
                <w:lang w:bidi="ar"/>
              </w:rPr>
              <w:t>2</w:t>
            </w:r>
            <w:r>
              <w:rPr>
                <w:rFonts w:hint="eastAsia" w:ascii="宋体" w:hAnsi="宋体" w:eastAsia="宋体" w:cs="宋体"/>
                <w:color w:val="auto"/>
                <w:kern w:val="0"/>
                <w:sz w:val="21"/>
                <w:szCs w:val="21"/>
                <w:lang w:val="en-US" w:eastAsia="zh-CN" w:bidi="ar"/>
              </w:rPr>
              <w:t>0</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A3360">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7AE1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D0B3F">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A2F6C">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r>
      <w:tr w14:paraId="68A323D5">
        <w:tblPrEx>
          <w:tblCellMar>
            <w:top w:w="0" w:type="dxa"/>
            <w:left w:w="108" w:type="dxa"/>
            <w:bottom w:w="0" w:type="dxa"/>
            <w:right w:w="108" w:type="dxa"/>
          </w:tblCellMar>
        </w:tblPrEx>
        <w:trPr>
          <w:trHeight w:val="50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2928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eastAsia="zh-CN" w:bidi="ar"/>
              </w:rPr>
            </w:pPr>
            <w:r>
              <w:rPr>
                <w:rFonts w:hint="eastAsia" w:ascii="宋体" w:hAnsi="宋体" w:eastAsia="宋体" w:cs="宋体"/>
                <w:color w:val="auto"/>
                <w:kern w:val="0"/>
                <w:sz w:val="21"/>
                <w:szCs w:val="21"/>
                <w:lang w:val="en-US" w:eastAsia="zh-CN" w:bidi="ar"/>
              </w:rPr>
              <w:t>6</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05871">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eastAsia="zh-CN" w:bidi="ar"/>
              </w:rPr>
            </w:pPr>
            <w:r>
              <w:rPr>
                <w:rFonts w:hint="eastAsia" w:ascii="宋体" w:hAnsi="宋体" w:eastAsia="宋体" w:cs="宋体"/>
                <w:color w:val="auto"/>
                <w:kern w:val="0"/>
                <w:sz w:val="21"/>
                <w:szCs w:val="21"/>
                <w:lang w:bidi="ar"/>
              </w:rPr>
              <w:t>不锈钢室外控制箱</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val="en-US" w:eastAsia="zh-CN" w:bidi="ar"/>
              </w:rPr>
              <w:t>含</w:t>
            </w:r>
            <w:r>
              <w:rPr>
                <w:rFonts w:hint="eastAsia" w:ascii="宋体" w:hAnsi="宋体" w:eastAsia="宋体" w:cs="宋体"/>
                <w:color w:val="auto"/>
                <w:kern w:val="0"/>
                <w:sz w:val="21"/>
                <w:szCs w:val="21"/>
                <w:lang w:bidi="ar"/>
              </w:rPr>
              <w:t>底座</w:t>
            </w:r>
            <w:r>
              <w:rPr>
                <w:rFonts w:hint="eastAsia" w:ascii="宋体" w:hAnsi="宋体" w:eastAsia="宋体" w:cs="宋体"/>
                <w:color w:val="auto"/>
                <w:kern w:val="0"/>
                <w:sz w:val="21"/>
                <w:szCs w:val="21"/>
                <w:lang w:eastAsia="zh-CN" w:bidi="ar"/>
              </w:rPr>
              <w:t>）</w:t>
            </w:r>
          </w:p>
        </w:tc>
        <w:tc>
          <w:tcPr>
            <w:tcW w:w="7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7CCA2">
            <w:pPr>
              <w:pStyle w:val="8"/>
              <w:pageBreakBefore w:val="0"/>
              <w:numPr>
                <w:ilvl w:val="0"/>
                <w:numId w:val="0"/>
              </w:numPr>
              <w:kinsoku/>
              <w:wordWrap/>
              <w:overflowPunct/>
              <w:topLinePunct w:val="0"/>
              <w:autoSpaceDE/>
              <w:autoSpaceDN/>
              <w:bidi w:val="0"/>
              <w:adjustRightInd w:val="0"/>
              <w:snapToGrid w:val="0"/>
              <w:spacing w:before="0" w:beforeAutospacing="0" w:after="0" w:afterAutospacing="0" w:line="240" w:lineRule="auto"/>
              <w:ind w:leftChars="0"/>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材质：304不锈钢</w:t>
            </w:r>
            <w:r>
              <w:rPr>
                <w:rFonts w:hint="eastAsia" w:ascii="宋体" w:hAnsi="宋体" w:eastAsia="宋体" w:cs="宋体"/>
                <w:color w:val="auto"/>
                <w:sz w:val="21"/>
                <w:szCs w:val="21"/>
                <w:lang w:val="en-US" w:eastAsia="zh-CN"/>
              </w:rPr>
              <w:t>防水</w:t>
            </w:r>
            <w:r>
              <w:rPr>
                <w:rFonts w:hint="eastAsia" w:ascii="宋体" w:hAnsi="宋体" w:eastAsia="宋体" w:cs="宋体"/>
                <w:color w:val="auto"/>
                <w:sz w:val="21"/>
                <w:szCs w:val="21"/>
              </w:rPr>
              <w:t>，1.5mm厚冷轧钢板</w:t>
            </w:r>
          </w:p>
          <w:p w14:paraId="227D891F">
            <w:pPr>
              <w:pStyle w:val="8"/>
              <w:pageBreakBefore w:val="0"/>
              <w:numPr>
                <w:ilvl w:val="0"/>
                <w:numId w:val="0"/>
              </w:numPr>
              <w:kinsoku/>
              <w:wordWrap/>
              <w:overflowPunct/>
              <w:topLinePunct w:val="0"/>
              <w:autoSpaceDE/>
              <w:autoSpaceDN/>
              <w:bidi w:val="0"/>
              <w:adjustRightInd w:val="0"/>
              <w:snapToGrid w:val="0"/>
              <w:spacing w:before="0" w:beforeAutospacing="0" w:after="0" w:afterAutospacing="0" w:line="240" w:lineRule="auto"/>
              <w:ind w:leftChars="0"/>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600mm*800mm*200mm</w:t>
            </w:r>
          </w:p>
          <w:p w14:paraId="79E7BB04">
            <w:pPr>
              <w:pStyle w:val="8"/>
              <w:pageBreakBefore w:val="0"/>
              <w:numPr>
                <w:ilvl w:val="0"/>
                <w:numId w:val="0"/>
              </w:numPr>
              <w:kinsoku/>
              <w:wordWrap/>
              <w:overflowPunct/>
              <w:topLinePunct w:val="0"/>
              <w:autoSpaceDE/>
              <w:autoSpaceDN/>
              <w:bidi w:val="0"/>
              <w:adjustRightInd w:val="0"/>
              <w:snapToGrid w:val="0"/>
              <w:spacing w:before="0" w:beforeAutospacing="0" w:after="0" w:afterAutospacing="0" w:line="240" w:lineRule="auto"/>
              <w:ind w:leftChars="0"/>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3、直流电源、插座等</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5F50C">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20</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F0FCF">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ABC9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BDE3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A81B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r>
      <w:tr w14:paraId="696DC651">
        <w:tblPrEx>
          <w:tblCellMar>
            <w:top w:w="0" w:type="dxa"/>
            <w:left w:w="108" w:type="dxa"/>
            <w:bottom w:w="0" w:type="dxa"/>
            <w:right w:w="108" w:type="dxa"/>
          </w:tblCellMar>
        </w:tblPrEx>
        <w:trPr>
          <w:trHeight w:val="500" w:hRule="atLeast"/>
        </w:trPr>
        <w:tc>
          <w:tcPr>
            <w:tcW w:w="3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CF47E6">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合计</w:t>
            </w:r>
          </w:p>
        </w:tc>
        <w:tc>
          <w:tcPr>
            <w:tcW w:w="944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5BBBA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按实际</w:t>
            </w:r>
            <w:r>
              <w:rPr>
                <w:rFonts w:hint="eastAsia" w:ascii="宋体" w:hAnsi="宋体" w:eastAsia="宋体" w:cs="宋体"/>
                <w:color w:val="auto"/>
                <w:sz w:val="21"/>
                <w:szCs w:val="21"/>
                <w:lang w:val="en-US" w:eastAsia="zh-CN"/>
              </w:rPr>
              <w:t>安装</w:t>
            </w:r>
            <w:r>
              <w:rPr>
                <w:rFonts w:hint="eastAsia" w:ascii="宋体" w:hAnsi="宋体" w:eastAsia="宋体" w:cs="宋体"/>
                <w:color w:val="auto"/>
                <w:sz w:val="21"/>
                <w:szCs w:val="21"/>
              </w:rPr>
              <w:t>数量结算</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0B586">
            <w:pPr>
              <w:pageBreakBefore w:val="0"/>
              <w:kinsoku/>
              <w:wordWrap/>
              <w:overflowPunct/>
              <w:topLinePunct w:val="0"/>
              <w:autoSpaceDE/>
              <w:autoSpaceDN/>
              <w:bidi w:val="0"/>
              <w:adjustRightInd w:val="0"/>
              <w:snapToGrid w:val="0"/>
              <w:spacing w:beforeAutospacing="0" w:afterAutospacing="0" w:line="240" w:lineRule="auto"/>
              <w:ind w:leftChars="-47" w:hanging="98" w:hangingChars="47"/>
              <w:jc w:val="center"/>
              <w:rPr>
                <w:rFonts w:hint="eastAsia" w:ascii="宋体" w:hAnsi="宋体" w:eastAsia="宋体" w:cs="宋体"/>
                <w:color w:val="auto"/>
                <w:sz w:val="21"/>
                <w:szCs w:val="21"/>
                <w:lang w:val="en-US" w:eastAsia="zh-CN"/>
              </w:rPr>
            </w:pPr>
          </w:p>
        </w:tc>
      </w:tr>
      <w:bookmarkEnd w:id="0"/>
    </w:tbl>
    <w:p w14:paraId="45495F81">
      <w:pPr>
        <w:pageBreakBefore w:val="0"/>
        <w:kinsoku/>
        <w:wordWrap/>
        <w:overflowPunct/>
        <w:topLinePunct w:val="0"/>
        <w:autoSpaceDE/>
        <w:autoSpaceDN/>
        <w:bidi w:val="0"/>
        <w:adjustRightInd w:val="0"/>
        <w:snapToGrid w:val="0"/>
        <w:spacing w:beforeAutospacing="0" w:afterAutospacing="0" w:line="360" w:lineRule="auto"/>
        <w:jc w:val="both"/>
        <w:rPr>
          <w:rFonts w:hint="eastAsia" w:ascii="微软雅黑" w:hAnsi="微软雅黑" w:eastAsia="微软雅黑"/>
          <w:b/>
          <w:bCs/>
          <w:color w:val="auto"/>
          <w:sz w:val="30"/>
          <w:szCs w:val="30"/>
          <w:lang w:val="en-US" w:eastAsia="zh-CN"/>
        </w:rPr>
      </w:pPr>
    </w:p>
    <w:p w14:paraId="32E221C1">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2、海洋路校区分体空调</w:t>
      </w:r>
    </w:p>
    <w:tbl>
      <w:tblPr>
        <w:tblStyle w:val="4"/>
        <w:tblW w:w="14329" w:type="dxa"/>
        <w:tblInd w:w="96" w:type="dxa"/>
        <w:tblLayout w:type="fixed"/>
        <w:tblCellMar>
          <w:top w:w="0" w:type="dxa"/>
          <w:left w:w="108" w:type="dxa"/>
          <w:bottom w:w="0" w:type="dxa"/>
          <w:right w:w="108" w:type="dxa"/>
        </w:tblCellMar>
      </w:tblPr>
      <w:tblGrid>
        <w:gridCol w:w="721"/>
        <w:gridCol w:w="2464"/>
        <w:gridCol w:w="7033"/>
        <w:gridCol w:w="851"/>
        <w:gridCol w:w="709"/>
        <w:gridCol w:w="850"/>
        <w:gridCol w:w="851"/>
        <w:gridCol w:w="850"/>
      </w:tblGrid>
      <w:tr w14:paraId="0188CA1C">
        <w:tblPrEx>
          <w:tblCellMar>
            <w:top w:w="0" w:type="dxa"/>
            <w:left w:w="108" w:type="dxa"/>
            <w:bottom w:w="0" w:type="dxa"/>
            <w:right w:w="108" w:type="dxa"/>
          </w:tblCellMar>
        </w:tblPrEx>
        <w:trPr>
          <w:trHeight w:val="624" w:hRule="atLeast"/>
          <w:tblHeader/>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DE626">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lang w:bidi="ar"/>
              </w:rPr>
              <w:t>序号</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A76A7">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lang w:bidi="ar"/>
              </w:rPr>
              <w:t>品目名称</w:t>
            </w:r>
          </w:p>
        </w:tc>
        <w:tc>
          <w:tcPr>
            <w:tcW w:w="7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4483">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rPr>
              <w:t>技术参数</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33F51">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lang w:bidi="ar"/>
              </w:rPr>
              <w:t>数量</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99800">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lang w:bidi="ar"/>
              </w:rPr>
              <w:t>单位</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AD6A3">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lang w:bidi="ar"/>
              </w:rPr>
              <w:t>单价</w:t>
            </w:r>
            <w:r>
              <w:rPr>
                <w:rFonts w:hint="eastAsia" w:ascii="宋体" w:hAnsi="宋体" w:eastAsia="宋体" w:cs="宋体"/>
                <w:b/>
                <w:bCs/>
                <w:color w:val="auto"/>
                <w:kern w:val="0"/>
                <w:sz w:val="21"/>
                <w:szCs w:val="21"/>
                <w:lang w:eastAsia="zh-CN" w:bidi="ar"/>
              </w:rPr>
              <w:t>（</w:t>
            </w:r>
            <w:r>
              <w:rPr>
                <w:rFonts w:hint="eastAsia" w:ascii="宋体" w:hAnsi="宋体" w:eastAsia="宋体" w:cs="宋体"/>
                <w:b/>
                <w:bCs/>
                <w:color w:val="auto"/>
                <w:kern w:val="0"/>
                <w:sz w:val="21"/>
                <w:szCs w:val="21"/>
                <w:lang w:val="en-US" w:eastAsia="zh-CN" w:bidi="ar"/>
              </w:rPr>
              <w:t>元</w:t>
            </w:r>
            <w:r>
              <w:rPr>
                <w:rFonts w:hint="eastAsia" w:ascii="宋体" w:hAnsi="宋体" w:eastAsia="宋体" w:cs="宋体"/>
                <w:b/>
                <w:bCs/>
                <w:color w:val="auto"/>
                <w:kern w:val="0"/>
                <w:sz w:val="21"/>
                <w:szCs w:val="21"/>
                <w:lang w:eastAsia="zh-CN" w:bidi="ar"/>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319F3">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lang w:bidi="ar"/>
              </w:rPr>
              <w:t>合价</w:t>
            </w:r>
            <w:r>
              <w:rPr>
                <w:rFonts w:hint="eastAsia" w:ascii="宋体" w:hAnsi="宋体" w:eastAsia="宋体" w:cs="宋体"/>
                <w:b/>
                <w:bCs/>
                <w:color w:val="auto"/>
                <w:kern w:val="0"/>
                <w:sz w:val="21"/>
                <w:szCs w:val="21"/>
                <w:lang w:eastAsia="zh-CN" w:bidi="ar"/>
              </w:rPr>
              <w:t>（</w:t>
            </w:r>
            <w:r>
              <w:rPr>
                <w:rFonts w:hint="eastAsia" w:ascii="宋体" w:hAnsi="宋体" w:eastAsia="宋体" w:cs="宋体"/>
                <w:b/>
                <w:bCs/>
                <w:color w:val="auto"/>
                <w:kern w:val="0"/>
                <w:sz w:val="21"/>
                <w:szCs w:val="21"/>
                <w:lang w:val="en-US" w:eastAsia="zh-CN" w:bidi="ar"/>
              </w:rPr>
              <w:t>元</w:t>
            </w:r>
            <w:r>
              <w:rPr>
                <w:rFonts w:hint="eastAsia" w:ascii="宋体" w:hAnsi="宋体" w:eastAsia="宋体" w:cs="宋体"/>
                <w:b/>
                <w:bCs/>
                <w:color w:val="auto"/>
                <w:kern w:val="0"/>
                <w:sz w:val="21"/>
                <w:szCs w:val="21"/>
                <w:lang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BDE3F">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b/>
                <w:bCs/>
                <w:color w:val="auto"/>
                <w:kern w:val="0"/>
                <w:sz w:val="21"/>
                <w:szCs w:val="21"/>
                <w:lang w:bidi="ar"/>
              </w:rPr>
            </w:pPr>
            <w:r>
              <w:rPr>
                <w:rFonts w:hint="eastAsia" w:ascii="宋体" w:hAnsi="宋体" w:eastAsia="宋体" w:cs="宋体"/>
                <w:b/>
                <w:bCs/>
                <w:color w:val="auto"/>
                <w:kern w:val="0"/>
                <w:sz w:val="21"/>
                <w:szCs w:val="21"/>
                <w:lang w:bidi="ar"/>
              </w:rPr>
              <w:t>备注</w:t>
            </w:r>
          </w:p>
        </w:tc>
      </w:tr>
      <w:tr w14:paraId="6FC92894">
        <w:tblPrEx>
          <w:tblCellMar>
            <w:top w:w="0" w:type="dxa"/>
            <w:left w:w="108" w:type="dxa"/>
            <w:bottom w:w="0" w:type="dxa"/>
            <w:right w:w="108" w:type="dxa"/>
          </w:tblCellMar>
        </w:tblPrEx>
        <w:trPr>
          <w:trHeight w:val="50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39F57">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1</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2ED17">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单相空调控制插座</w:t>
            </w:r>
          </w:p>
        </w:tc>
        <w:tc>
          <w:tcPr>
            <w:tcW w:w="7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331A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1、支持多协议通信，通过数据线连插座RS485通信接口或/4G/LORA/BT与上位机进行通信，可通过DL/T 645-2007、Q/GDW 1376.1-2013、MODBUS、MQTT等协议采集插座数据和下发指令参数</w:t>
            </w:r>
          </w:p>
          <w:p w14:paraId="184DB5B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2、具有参数监测功能，模块正常上电后接上负载，上位机通过网络连接插座，通过标准DL/T 645、MODBUS、MQTT等协议可读取模块电流、电压、功率因素、有功、无功及复费率等及其他设定的定时控制等管理参数</w:t>
            </w:r>
          </w:p>
          <w:p w14:paraId="24CA4176">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3、具有远程控制功能，模块正常上电后接上负载，上位机通过网络连接模块，可通过后台软件实现智控模块的远程拉合闸，进行策略控制</w:t>
            </w:r>
          </w:p>
          <w:p w14:paraId="6019BFA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具有综合参数读取功能，模块与上位机软件连接，上位机可设定过载断电、定时关电、负载识别等各种管理参数下发并保存到插座后，通过综合参数读取按钮可读取当前插座的多有功能参数和继电器状态等各种功能状态</w:t>
            </w:r>
          </w:p>
          <w:p w14:paraId="4392EAF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5、具有过载断电功能，当在后台软件设置过载功率为1A，当负载功率大于1A时，模块自动拉闸断电；可设定6个以上时间段不同过载功率</w:t>
            </w:r>
          </w:p>
          <w:p w14:paraId="6904506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6、具有负载识别功能，后台软件设置过载功为1000W，插上500W热得快时，模块自动断电，实现恶性负载有效识别；可学习建立热得快、电吹风等常用电器特征库，通过容许和禁用某类负载实现有效识别和安全管理</w:t>
            </w:r>
          </w:p>
          <w:p w14:paraId="5CE63CF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7、具有空调识别功能，插座接入空调负载时可以正常使用，当接入其他负载时立即断电</w:t>
            </w:r>
          </w:p>
          <w:p w14:paraId="4D780B6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8、具有温度检测功能，可测量安装空间温度，可设定检测或采集到某个温度值时发出红外开启或关闭指令，也可执行拉合闸指令</w:t>
            </w:r>
          </w:p>
          <w:p w14:paraId="5F6191D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9、具有温度锁定功能，可根据环境或使用需要设定并锁定温度阈值，防止并修正违规修改阈值</w:t>
            </w:r>
          </w:p>
          <w:p w14:paraId="65D2F5A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支持多种费率，控制模块具有尖峰谷平四个费率时段，可扩展设定更多费率时段</w:t>
            </w:r>
          </w:p>
          <w:p w14:paraId="5D0503B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10、具有掉电存储功能，上位机发送策略控制参数给模块成功后，断开模块电源，重新上电后读取模块综合读数，发送的策略控制参数无丢失电存储</w:t>
            </w:r>
          </w:p>
          <w:p w14:paraId="091BBC4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11、具有联动功能，新增水机的能耗统计以及水机的集控功能，对接原有空调控制系统，与风冷机联动。</w:t>
            </w:r>
          </w:p>
          <w:p w14:paraId="530DAA0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12、支持可视化方式对设备信息进行总览，包括空调安装位置、空调运行状态、空调风扇、空调模式、空调温度、空调湿度等</w:t>
            </w:r>
          </w:p>
          <w:p w14:paraId="57572E6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具有异常告警功能，当设备出现温度过高、电流电压过高过低、电量过低等异常情况时，设备自动产生告警并上报到后台并推送告警信息至管理员手机，管理员可以在系统查看到该告警记录，根据上报的告警信息进行处理</w:t>
            </w:r>
          </w:p>
          <w:p w14:paraId="29ED3D5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14、支持生成报表，自动统计形成节电分析以及能源统计报表，可以通过日、周、月、年、自定义时段、每个区域、每栋楼、每个房间等多种维度快速查询空调耗能数据，可对报表进行导出、打印等</w:t>
            </w:r>
          </w:p>
          <w:p w14:paraId="73A7644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15、具有定时控制功能，系统可设置通、断电时间，并进行拉合闸控制</w:t>
            </w:r>
          </w:p>
          <w:p w14:paraId="202B53D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16、具有遥控功能，内容如下：</w:t>
            </w:r>
          </w:p>
          <w:p w14:paraId="5DBDB12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a）具有定时遥控功能，系统可设置定时红外遥控开启、关闭，并自动执行；</w:t>
            </w:r>
          </w:p>
          <w:p w14:paraId="01D3D81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b）具有红外遥控功能，接受上位机的开启、关闭，运行模式等数据后可通过红外与对应的空调通讯，实现空调的运行控制和参数设定</w:t>
            </w:r>
          </w:p>
          <w:p w14:paraId="20713E4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17、具有负荷控制功能，可对分路电流在（0～16）A范围没进行设置；当分路电流超过设置的最大电流的时间超过设定值时，应自动切断该分路电源</w:t>
            </w:r>
          </w:p>
          <w:p w14:paraId="5DE9BD4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18、具有数据保持功能，当电流瞬时或断电时，应保持数据不丢失；恢复供电后，保存的数据不丢失。系统应正常工作</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FA83F">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150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DBC9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E64D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CAC9D">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5FC9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r>
      <w:tr w14:paraId="6E0F8E12">
        <w:tblPrEx>
          <w:tblCellMar>
            <w:top w:w="0" w:type="dxa"/>
            <w:left w:w="108" w:type="dxa"/>
            <w:bottom w:w="0" w:type="dxa"/>
            <w:right w:w="108" w:type="dxa"/>
          </w:tblCellMar>
        </w:tblPrEx>
        <w:trPr>
          <w:trHeight w:val="50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ADD1E">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2</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834F9">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三相空调控制模块</w:t>
            </w:r>
          </w:p>
        </w:tc>
        <w:tc>
          <w:tcPr>
            <w:tcW w:w="7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29CF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1、支持多协议通信，通过数据线连插座RS485通信接口或/4G/LORA/BT与上位机进行通信，可通过DL/T 645-2007、Q/GDW 1376.1-2013、MODBUS、MQTT等协议采集插座数据和下发指令参数</w:t>
            </w:r>
          </w:p>
          <w:p w14:paraId="4313AB0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2、具有参数监测功能，模块正常上电后接上负载，上位机通过网络连接插座，通过标准DL/T 645、MODBUS、MQTT等协议可读取模块电流、电压、功率因素、有功、无功及复费率等及其他设定的定时控制等管理参数</w:t>
            </w:r>
          </w:p>
          <w:p w14:paraId="0E941BA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3、具有远程控制功能，模块正常上电后接上负载，上位机通过网络连接模块，可通过后台软件实现智控模块的远程拉合闸，进行策略控制</w:t>
            </w:r>
          </w:p>
          <w:p w14:paraId="6F693EF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具有综合参数读取功能，模块与上位机软件连接，上位机可设定过载断电、定时关电、负载识别等各种管理参数下发并保存到插座后，通过综合参数读取按钮可读取当前插座的多有功能参数和继电器状态等各种功能状态</w:t>
            </w:r>
          </w:p>
          <w:p w14:paraId="3044672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5、具有过载断电功能，当在后台软件设置过载功率为1A，当负载功率大于1A时，模块自动拉闸断电；可设定6个以上时间段不同过载功率</w:t>
            </w:r>
          </w:p>
          <w:p w14:paraId="5A3C1DF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6、具有负载识别功能，后台软件设置过载功为1000W，插上500W热得快时，模块自动断电，实现恶性负载有效识别；可学习建立热得快、电吹风等常用电器特征库，通过容许和禁用某类负载实现有效识别和安全管理</w:t>
            </w:r>
          </w:p>
          <w:p w14:paraId="5C938F3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7、具有空调识别功能，插座接入空调负载时可以正常使用，当接入其他负载时立即断电</w:t>
            </w:r>
          </w:p>
          <w:p w14:paraId="6B2D01C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8、具有温度检测功能，可测量安装空间温度，可设定检测或采集到某个温度值时发出红外开启或关闭指令，也可执行拉合闸指令</w:t>
            </w:r>
          </w:p>
          <w:p w14:paraId="3EE6458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9、具有温度锁定功能，可根据环境或使用需要设定并锁定温度阈值，防止并修正违规修改阈值</w:t>
            </w:r>
          </w:p>
          <w:p w14:paraId="4A545B7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支持多种费率，控制模块具有尖峰谷平四个费率时段，可扩展设定更多费率时段</w:t>
            </w:r>
          </w:p>
          <w:p w14:paraId="0EFA253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10、具有掉电存储功能，上位机发送策略控制参数给模块成功后，断开模块电源，重新上电后读取模块综合读数，发送的策略控制参数无丢失电存储</w:t>
            </w:r>
          </w:p>
          <w:p w14:paraId="5CA78AC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11、具有联动功能，新增水机的能耗统计以及水机的集控功能，对接原有空调控制系统，与风冷机联动。</w:t>
            </w:r>
          </w:p>
          <w:p w14:paraId="7F8AAE5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12、支持可视化方式对设备信息进行总览，包括空调安装位置、空调运行状态、空调风扇、空调模式、空调温度、空调湿度等</w:t>
            </w:r>
          </w:p>
          <w:p w14:paraId="185EB8E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具有异常告警功能，当设备出现温度过高、电流电压过高过低、电量过低等异常情况时，设备自动产生告警并上报到后台并推送告警信息至管理员手机，管理员可以在系统查看到该告警记录，根据上报的告警信息进行处理</w:t>
            </w:r>
          </w:p>
          <w:p w14:paraId="1DA1342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14、支持生成报表，自动统计形成节电分析以及能源统计报表，可以通过日、周、月、年、自定义时段、每个区域、每栋楼、每个房间等多种维度快速查询空调耗能数据，可对报表进行导出、打印等</w:t>
            </w:r>
          </w:p>
          <w:p w14:paraId="3309DA9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15、具有定时控制功能，系统可设置通、断电时间，并进行拉合闸控制</w:t>
            </w:r>
          </w:p>
          <w:p w14:paraId="1AEA62C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16、具有遥控功能，内容如下：</w:t>
            </w:r>
          </w:p>
          <w:p w14:paraId="0FBDE72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a）具有定时遥控功能，系统可设置定时红外遥控开启、关闭，并自动执行；</w:t>
            </w:r>
          </w:p>
          <w:p w14:paraId="7285AD6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b）具有红外遥控功能，接受上位机的开启、关闭，运行模式等数据后可通过红外与对应的空调通讯，实现空调的运行控制和参数设定</w:t>
            </w:r>
          </w:p>
          <w:p w14:paraId="4AD645C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17、具有负荷控制功能，可对分路电流在（0～16）A范围没进行设置；当分路电流超过设置的最大电流的时间超过设定值时，应自动切断该分路电源</w:t>
            </w:r>
          </w:p>
          <w:p w14:paraId="6FF439F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18、具有数据保持功能，当电流瞬时或断电时，应保持数据不丢失；恢复供电后，保存的数据不丢失。系统应正常工作</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45853">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20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34F8C">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9F3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eastAsia="zh-CN"/>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CDAD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DCA60">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r>
      <w:tr w14:paraId="64704BCE">
        <w:tblPrEx>
          <w:tblCellMar>
            <w:top w:w="0" w:type="dxa"/>
            <w:left w:w="108" w:type="dxa"/>
            <w:bottom w:w="0" w:type="dxa"/>
            <w:right w:w="108" w:type="dxa"/>
          </w:tblCellMar>
        </w:tblPrEx>
        <w:trPr>
          <w:trHeight w:val="500" w:hRule="atLeast"/>
        </w:trPr>
        <w:tc>
          <w:tcPr>
            <w:tcW w:w="3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EFDC3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合计</w:t>
            </w:r>
          </w:p>
        </w:tc>
        <w:tc>
          <w:tcPr>
            <w:tcW w:w="944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66AB0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按实际</w:t>
            </w:r>
            <w:r>
              <w:rPr>
                <w:rFonts w:hint="eastAsia" w:ascii="宋体" w:hAnsi="宋体" w:eastAsia="宋体" w:cs="宋体"/>
                <w:color w:val="auto"/>
                <w:sz w:val="21"/>
                <w:szCs w:val="21"/>
                <w:lang w:val="en-US" w:eastAsia="zh-CN"/>
              </w:rPr>
              <w:t>安装</w:t>
            </w:r>
            <w:r>
              <w:rPr>
                <w:rFonts w:hint="eastAsia" w:ascii="宋体" w:hAnsi="宋体" w:eastAsia="宋体" w:cs="宋体"/>
                <w:color w:val="auto"/>
                <w:sz w:val="21"/>
                <w:szCs w:val="21"/>
              </w:rPr>
              <w:t>数量结算</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AB18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lang w:val="en-US" w:eastAsia="zh-CN"/>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171A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r>
    </w:tbl>
    <w:p w14:paraId="76EE16E1">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3、文港路校区中央空调</w:t>
      </w:r>
    </w:p>
    <w:tbl>
      <w:tblPr>
        <w:tblStyle w:val="4"/>
        <w:tblW w:w="14329" w:type="dxa"/>
        <w:tblInd w:w="96" w:type="dxa"/>
        <w:tblLayout w:type="fixed"/>
        <w:tblCellMar>
          <w:top w:w="0" w:type="dxa"/>
          <w:left w:w="108" w:type="dxa"/>
          <w:bottom w:w="0" w:type="dxa"/>
          <w:right w:w="108" w:type="dxa"/>
        </w:tblCellMar>
      </w:tblPr>
      <w:tblGrid>
        <w:gridCol w:w="721"/>
        <w:gridCol w:w="2490"/>
        <w:gridCol w:w="6989"/>
        <w:gridCol w:w="876"/>
        <w:gridCol w:w="684"/>
        <w:gridCol w:w="852"/>
        <w:gridCol w:w="888"/>
        <w:gridCol w:w="829"/>
      </w:tblGrid>
      <w:tr w14:paraId="2BE3E3C7">
        <w:tblPrEx>
          <w:tblCellMar>
            <w:top w:w="0" w:type="dxa"/>
            <w:left w:w="108" w:type="dxa"/>
            <w:bottom w:w="0" w:type="dxa"/>
            <w:right w:w="108" w:type="dxa"/>
          </w:tblCellMar>
        </w:tblPrEx>
        <w:trPr>
          <w:trHeight w:val="624"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0C6B0">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序号</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85A07">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品目名称</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0A76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技术参数</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341E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数量</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F0A7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单位</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8B43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单价</w:t>
            </w:r>
            <w:r>
              <w:rPr>
                <w:rFonts w:hint="eastAsia" w:ascii="宋体" w:hAnsi="宋体" w:eastAsia="宋体" w:cs="宋体"/>
                <w:b/>
                <w:bCs/>
                <w:color w:val="auto"/>
                <w:spacing w:val="6"/>
                <w:sz w:val="21"/>
                <w:szCs w:val="21"/>
                <w:lang w:eastAsia="zh-CN"/>
              </w:rPr>
              <w:t>（</w:t>
            </w:r>
            <w:r>
              <w:rPr>
                <w:rFonts w:hint="eastAsia" w:ascii="宋体" w:hAnsi="宋体" w:eastAsia="宋体" w:cs="宋体"/>
                <w:b/>
                <w:bCs/>
                <w:color w:val="auto"/>
                <w:spacing w:val="6"/>
                <w:sz w:val="21"/>
                <w:szCs w:val="21"/>
                <w:lang w:val="en-US" w:eastAsia="zh-CN"/>
              </w:rPr>
              <w:t>元</w:t>
            </w:r>
            <w:r>
              <w:rPr>
                <w:rFonts w:hint="eastAsia" w:ascii="宋体" w:hAnsi="宋体" w:eastAsia="宋体" w:cs="宋体"/>
                <w:b/>
                <w:bCs/>
                <w:color w:val="auto"/>
                <w:spacing w:val="6"/>
                <w:sz w:val="21"/>
                <w:szCs w:val="21"/>
                <w:lang w:eastAsia="zh-CN"/>
              </w:rPr>
              <w:t>）</w:t>
            </w:r>
          </w:p>
        </w:tc>
        <w:tc>
          <w:tcPr>
            <w:tcW w:w="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AEEF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合价</w:t>
            </w:r>
            <w:r>
              <w:rPr>
                <w:rFonts w:hint="eastAsia" w:ascii="宋体" w:hAnsi="宋体" w:eastAsia="宋体" w:cs="宋体"/>
                <w:b/>
                <w:bCs/>
                <w:color w:val="auto"/>
                <w:spacing w:val="6"/>
                <w:sz w:val="21"/>
                <w:szCs w:val="21"/>
                <w:lang w:eastAsia="zh-CN"/>
              </w:rPr>
              <w:t>（</w:t>
            </w:r>
            <w:r>
              <w:rPr>
                <w:rFonts w:hint="eastAsia" w:ascii="宋体" w:hAnsi="宋体" w:eastAsia="宋体" w:cs="宋体"/>
                <w:b/>
                <w:bCs/>
                <w:color w:val="auto"/>
                <w:spacing w:val="6"/>
                <w:sz w:val="21"/>
                <w:szCs w:val="21"/>
                <w:lang w:val="en-US" w:eastAsia="zh-CN"/>
              </w:rPr>
              <w:t>元</w:t>
            </w:r>
            <w:r>
              <w:rPr>
                <w:rFonts w:hint="eastAsia" w:ascii="宋体" w:hAnsi="宋体" w:eastAsia="宋体" w:cs="宋体"/>
                <w:b/>
                <w:bCs/>
                <w:color w:val="auto"/>
                <w:spacing w:val="6"/>
                <w:sz w:val="21"/>
                <w:szCs w:val="21"/>
                <w:lang w:eastAsia="zh-CN"/>
              </w:rPr>
              <w:t>）</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0893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备注</w:t>
            </w:r>
          </w:p>
        </w:tc>
      </w:tr>
      <w:tr w14:paraId="4E82CB78">
        <w:tblPrEx>
          <w:tblCellMar>
            <w:top w:w="0" w:type="dxa"/>
            <w:left w:w="108" w:type="dxa"/>
            <w:bottom w:w="0" w:type="dxa"/>
            <w:right w:w="108" w:type="dxa"/>
          </w:tblCellMar>
        </w:tblPrEx>
        <w:trPr>
          <w:trHeight w:val="1271"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FFD6D">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DBF6A">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多联机空调控制器</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1CA4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 xml:space="preserve">1、远程监测所有区域空调设备运行状态，集中空调开关、 切换运行模式、调节风速、温度并锁定操作。 </w:t>
            </w:r>
          </w:p>
          <w:p w14:paraId="4EDCD82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 xml:space="preserve">2、 锁定控制，批量选定空调内机，锁定内机开关状态、 制冷/热模式、温度上下限值等，不允许个人在面板上 随意调节，造成故障、能源浪费等现象。 </w:t>
            </w:r>
          </w:p>
          <w:p w14:paraId="3AAAA42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 xml:space="preserve">3、群组控制，可一键集中控制所有内机，也可以按需求 分组、分区域进行一键管理。 </w:t>
            </w:r>
          </w:p>
          <w:p w14:paraId="3DD93DD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4、电量计量，根据每台外机的电表读数，精准分摊每台 内机用电量。</w:t>
            </w:r>
          </w:p>
          <w:p w14:paraId="7A71484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5、定时控制，分区设置空调设备定时开关时</w:t>
            </w:r>
          </w:p>
          <w:p w14:paraId="5D482D2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6、实时上报空调故障代码，故障分析</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0D580">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D3AA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只</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EB8FD">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35A2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6C080">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r>
      <w:tr w14:paraId="3821E4FC">
        <w:tblPrEx>
          <w:tblCellMar>
            <w:top w:w="0" w:type="dxa"/>
            <w:left w:w="108" w:type="dxa"/>
            <w:bottom w:w="0" w:type="dxa"/>
            <w:right w:w="108" w:type="dxa"/>
          </w:tblCellMar>
        </w:tblPrEx>
        <w:trPr>
          <w:trHeight w:val="509"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6F0D9">
            <w:pPr>
              <w:pageBreakBefore w:val="0"/>
              <w:widowControl/>
              <w:kinsoku/>
              <w:wordWrap/>
              <w:overflowPunct/>
              <w:topLinePunct w:val="0"/>
              <w:autoSpaceDE/>
              <w:autoSpaceDN/>
              <w:bidi w:val="0"/>
              <w:adjustRightInd w:val="0"/>
              <w:snapToGrid w:val="0"/>
              <w:spacing w:beforeAutospacing="0" w:afterAutospacing="0" w:line="240" w:lineRule="auto"/>
              <w:ind w:firstLine="210" w:firstLineChars="100"/>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B94C5">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cs="宋体"/>
                <w:color w:val="auto"/>
                <w:kern w:val="0"/>
                <w:sz w:val="21"/>
                <w:szCs w:val="21"/>
                <w:lang w:val="en-US" w:eastAsia="zh-CN" w:bidi="ar"/>
              </w:rPr>
              <w:t>4G</w:t>
            </w:r>
            <w:r>
              <w:rPr>
                <w:rFonts w:hint="eastAsia" w:ascii="宋体" w:hAnsi="宋体" w:eastAsia="宋体" w:cs="宋体"/>
                <w:color w:val="auto"/>
                <w:kern w:val="0"/>
                <w:sz w:val="21"/>
                <w:szCs w:val="21"/>
                <w:lang w:bidi="ar"/>
              </w:rPr>
              <w:t>三相智能电表</w:t>
            </w:r>
          </w:p>
        </w:tc>
        <w:tc>
          <w:tcPr>
            <w:tcW w:w="6989" w:type="dxa"/>
            <w:tcBorders>
              <w:top w:val="single" w:color="000000" w:sz="4" w:space="0"/>
              <w:left w:val="single" w:color="000000" w:sz="4" w:space="0"/>
              <w:bottom w:val="single" w:color="000000" w:sz="4" w:space="0"/>
              <w:right w:val="single" w:color="000000" w:sz="4" w:space="0"/>
            </w:tcBorders>
            <w:shd w:val="clear" w:color="auto" w:fill="auto"/>
          </w:tcPr>
          <w:p w14:paraId="3BE9350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1、型号规格： 3×220/380V  0.015-0.075(6)A、 0.05-0.25(60)A、0.1-0.5(100)A</w:t>
            </w:r>
          </w:p>
          <w:p w14:paraId="0C5CC166">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2、准确度等级/最大允许误差：有功C级</w:t>
            </w:r>
          </w:p>
          <w:p w14:paraId="1DD3298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3、电表符合DL/T 1485-2015《三相智能电能表技术规范》、DL/T 1489-2015《三相智能电能表型式规范》、DL/T 1490-2015《智能电能表功能规范》、GB/T 17215.321-2021《电测量设备(交流)特殊要求第21部分：静止式有功电能表(A 级、B级、C级、D级和E级)》，GB/T 17215.211-2021《电测量设备(交流)通用要求、试验和试验条件第11部分：测量 设备》，DL/T614-2007《多功能电能表》，《三相四线费控智能电能表测试大纲》</w:t>
            </w:r>
          </w:p>
          <w:p w14:paraId="14211E9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4、电表在70℃的高温试验下，持续保持2h，电表能正常工作。</w:t>
            </w:r>
          </w:p>
          <w:p w14:paraId="3BD6E82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5、电表在-40℃的低温试验下，持续保持2h，电表能正常工作。电表有功功耗≤0.25W，视在功耗≤1VA</w:t>
            </w:r>
          </w:p>
          <w:p w14:paraId="508E858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6、电表在参比温度下，仪表内部时钟准确度应优于±0.5 s/24 h。</w:t>
            </w:r>
          </w:p>
          <w:p w14:paraId="5383376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7、电表在仪表额定温度范围内，内部时钟准确度应优于±1 s/24 h。</w:t>
            </w:r>
          </w:p>
          <w:p w14:paraId="089D04F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8、电表安装尺寸为290mm±1mm(高)×170mm± 1mm(宽)×85mm±1mm(厚)</w:t>
            </w:r>
          </w:p>
          <w:p w14:paraId="2BA1322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9、电表可计量总及各费率的正向、反向、 组合有功的电量，有功组合方式可  设 置 ；</w:t>
            </w:r>
          </w:p>
          <w:p w14:paraId="1C2A798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电表可计量总及各费率的四象限无功和  组合无功I/II的电量，组合无功方式 可设置 ；</w:t>
            </w:r>
          </w:p>
          <w:p w14:paraId="4B08814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电表可计量A、B、C三相的正反向有功 和四象限无功总电量；</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F4346">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C2D9">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只</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F114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5127F">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B5AF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r>
      <w:tr w14:paraId="6590AECF">
        <w:tblPrEx>
          <w:tblCellMar>
            <w:top w:w="0" w:type="dxa"/>
            <w:left w:w="108" w:type="dxa"/>
            <w:bottom w:w="0" w:type="dxa"/>
            <w:right w:w="108" w:type="dxa"/>
          </w:tblCellMar>
        </w:tblPrEx>
        <w:trPr>
          <w:trHeight w:val="50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BB2BF">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CE733">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数据网关</w:t>
            </w:r>
          </w:p>
        </w:tc>
        <w:tc>
          <w:tcPr>
            <w:tcW w:w="6989" w:type="dxa"/>
            <w:tcBorders>
              <w:top w:val="single" w:color="000000" w:sz="4" w:space="0"/>
              <w:left w:val="single" w:color="000000" w:sz="4" w:space="0"/>
              <w:bottom w:val="single" w:color="000000" w:sz="4" w:space="0"/>
              <w:right w:val="single" w:color="000000" w:sz="4" w:space="0"/>
            </w:tcBorders>
            <w:shd w:val="clear" w:color="auto" w:fill="auto"/>
          </w:tcPr>
          <w:p w14:paraId="45B1230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1、GB/T 2423.1-2008 《电工电子产品环境试验第2部分：试验方法试验A:低温》</w:t>
            </w:r>
          </w:p>
          <w:p w14:paraId="10C001D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GB/T 2423.2-2008 《电工电子产品环境试验第2部分：试验方法试验B:高温》</w:t>
            </w:r>
          </w:p>
          <w:p w14:paraId="6DDE33C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GB/T 2423.3-2016 《环境试验第2部分：试验方法试验Cab:恒定湿热试验》</w:t>
            </w:r>
          </w:p>
          <w:p w14:paraId="2025BEC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GB/T 2423.10-2008《电工电子产品环境试验第2部分：试验方法试验Fc:振动(正弦)》</w:t>
            </w:r>
          </w:p>
          <w:p w14:paraId="0A38DFF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2、CPU：采用4核A9、主频最高1.4GHz；</w:t>
            </w:r>
          </w:p>
          <w:p w14:paraId="2C2C538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3、内存：采用512MB DDR3内存</w:t>
            </w:r>
          </w:p>
          <w:p w14:paraId="2CF2362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4、存储：配置4GB存储，可扩展至128GB</w:t>
            </w:r>
          </w:p>
          <w:p w14:paraId="2D0F0B0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5、操作系统：支持Linux 3.4.39、支持Ubuntu 14.04</w:t>
            </w:r>
          </w:p>
          <w:p w14:paraId="0219E67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6、网 口：具有2个100M/10M自适应Ethernet网口 支持AUTO MDI/MDIX双级抗雷防护</w:t>
            </w:r>
          </w:p>
          <w:p w14:paraId="2DA6F37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7、无线传输：具有标准SIM卡(全网通)卡槽，具有4G天线 SMA接口，插入流量卡可实现无线传输</w:t>
            </w:r>
          </w:p>
          <w:p w14:paraId="2310253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8、RS485 接口：具有4个RS485接口(支持收发指示灯)</w:t>
            </w:r>
          </w:p>
          <w:p w14:paraId="57FFFDF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9、RS232 接口：具有4个RS232接口(与RS485为复用关系)</w:t>
            </w:r>
          </w:p>
          <w:p w14:paraId="74112F7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10、M-BUS 接口：具有1个M-BUS接口</w:t>
            </w:r>
          </w:p>
          <w:p w14:paraId="295D0A7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11、TF卡接 口：具有1个自弹TF卡座支持TF卡扩展存储(最 大扩展128GB)</w:t>
            </w:r>
          </w:p>
          <w:p w14:paraId="138429E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12、USB  HOST 接口：</w:t>
            </w:r>
          </w:p>
          <w:p w14:paraId="7FB2C70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1）具有1个USB HOST接口支持扩展USB外设；</w:t>
            </w:r>
          </w:p>
          <w:p w14:paraId="551339D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2）具有输出过载保护功能；</w:t>
            </w:r>
          </w:p>
          <w:p w14:paraId="6229278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3）对外输出电源可编程开关控制；</w:t>
            </w:r>
          </w:p>
          <w:p w14:paraId="4457844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4）支持三种芯片的USB无线网卡，芯片分别为 RTL8188EU、RTL8192EU和MT7601U。</w:t>
            </w:r>
          </w:p>
          <w:p w14:paraId="60436B8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13、Console UART接口：Console UART接口对外接口为Type-C,内部集 成USB转串口芯片</w:t>
            </w:r>
          </w:p>
          <w:p w14:paraId="0CB8539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14、数据网关每个串口应不低于32个终端设备(每个 RS485接口)</w:t>
            </w:r>
          </w:p>
          <w:p w14:paraId="4575E576">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15、数据网关支持最大采集速率115200bps</w:t>
            </w:r>
          </w:p>
          <w:p w14:paraId="11B28A0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16、数据网关能在AC 198V～242V范围内正常工作；</w:t>
            </w:r>
          </w:p>
          <w:p w14:paraId="77C9C1E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17、数据网关功耗≤3.0W；</w:t>
            </w:r>
          </w:p>
          <w:p w14:paraId="42B43CD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18、数据网关尺寸(L×W×H)</w:t>
            </w:r>
            <w:r>
              <w:rPr>
                <w:rFonts w:hint="eastAsia" w:ascii="宋体" w:hAnsi="宋体" w:eastAsia="宋体" w:cs="宋体"/>
                <w:color w:val="auto"/>
                <w:sz w:val="21"/>
                <w:szCs w:val="21"/>
              </w:rPr>
              <w:tab/>
            </w:r>
            <w:r>
              <w:rPr>
                <w:rFonts w:hint="eastAsia" w:ascii="宋体" w:hAnsi="宋体" w:eastAsia="宋体" w:cs="宋体"/>
                <w:color w:val="auto"/>
                <w:sz w:val="21"/>
                <w:szCs w:val="21"/>
              </w:rPr>
              <w:t>为144×83.5×27mm含挂耳，数据网关整机重量</w:t>
            </w:r>
            <w:r>
              <w:rPr>
                <w:rFonts w:hint="eastAsia" w:ascii="宋体" w:hAnsi="宋体" w:eastAsia="宋体" w:cs="宋体"/>
                <w:color w:val="auto"/>
                <w:sz w:val="21"/>
                <w:szCs w:val="21"/>
              </w:rPr>
              <w:tab/>
            </w:r>
            <w:r>
              <w:rPr>
                <w:rFonts w:hint="eastAsia" w:ascii="宋体" w:hAnsi="宋体" w:eastAsia="宋体" w:cs="宋体"/>
                <w:color w:val="auto"/>
                <w:sz w:val="21"/>
                <w:szCs w:val="21"/>
              </w:rPr>
              <w:t>360g；</w:t>
            </w:r>
          </w:p>
          <w:p w14:paraId="6E35CE2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19、、数据网关接触电流</w:t>
            </w:r>
            <w:r>
              <w:rPr>
                <w:rFonts w:hint="eastAsia" w:ascii="宋体" w:hAnsi="宋体" w:eastAsia="宋体" w:cs="宋体"/>
                <w:color w:val="auto"/>
                <w:sz w:val="21"/>
                <w:szCs w:val="21"/>
              </w:rPr>
              <w:tab/>
            </w:r>
            <w:r>
              <w:rPr>
                <w:rFonts w:hint="eastAsia" w:ascii="宋体" w:hAnsi="宋体" w:eastAsia="宋体" w:cs="宋体"/>
                <w:color w:val="auto"/>
                <w:sz w:val="21"/>
                <w:szCs w:val="21"/>
              </w:rPr>
              <w:t>≤3.5mA</w:t>
            </w:r>
          </w:p>
          <w:p w14:paraId="15EACE1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20、数据网关交流电源输入端与金属外壳之间，应能承受 AC 1500V、50Hz的试验电压，1min内无击穿；</w:t>
            </w:r>
          </w:p>
          <w:p w14:paraId="69083A9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21、数据网关应能承受接触放电试验，放电位置在对正常使用中手可能接触到的导电表面(点)及耦合板在放电电压6kV下，经过正负极性各10次，放电时间间隔1s的接触放电下，试验后应能正常工作；</w:t>
            </w:r>
          </w:p>
          <w:p w14:paraId="7A21D8A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22、数据网关应能承受空气放电试验，放电位置在对面板上缝隙、孔，在放电电压8kV下，经过正负极性各10次放电时间间隔1s的空气放电下，试验后应能正常工作；</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8941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3</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A0CE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只</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294F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5866D">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811C7">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r>
      <w:tr w14:paraId="13FFE409">
        <w:tblPrEx>
          <w:tblCellMar>
            <w:top w:w="0" w:type="dxa"/>
            <w:left w:w="108" w:type="dxa"/>
            <w:bottom w:w="0" w:type="dxa"/>
            <w:right w:w="108" w:type="dxa"/>
          </w:tblCellMar>
        </w:tblPrEx>
        <w:trPr>
          <w:trHeight w:val="50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00EC4">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EA5D1">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不锈钢室外控制箱</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val="en-US" w:eastAsia="zh-CN" w:bidi="ar"/>
              </w:rPr>
              <w:t>含</w:t>
            </w:r>
            <w:r>
              <w:rPr>
                <w:rFonts w:hint="eastAsia" w:ascii="宋体" w:hAnsi="宋体" w:eastAsia="宋体" w:cs="宋体"/>
                <w:color w:val="auto"/>
                <w:kern w:val="0"/>
                <w:sz w:val="21"/>
                <w:szCs w:val="21"/>
                <w:lang w:bidi="ar"/>
              </w:rPr>
              <w:t>底座</w:t>
            </w:r>
            <w:r>
              <w:rPr>
                <w:rFonts w:hint="eastAsia" w:ascii="宋体" w:hAnsi="宋体" w:eastAsia="宋体" w:cs="宋体"/>
                <w:color w:val="auto"/>
                <w:kern w:val="0"/>
                <w:sz w:val="21"/>
                <w:szCs w:val="21"/>
                <w:lang w:eastAsia="zh-CN" w:bidi="ar"/>
              </w:rPr>
              <w:t>）</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D5721">
            <w:pPr>
              <w:pStyle w:val="8"/>
              <w:pageBreakBefore w:val="0"/>
              <w:numPr>
                <w:ilvl w:val="0"/>
                <w:numId w:val="0"/>
              </w:numPr>
              <w:kinsoku/>
              <w:wordWrap/>
              <w:overflowPunct/>
              <w:topLinePunct w:val="0"/>
              <w:autoSpaceDE/>
              <w:autoSpaceDN/>
              <w:bidi w:val="0"/>
              <w:adjustRightInd w:val="0"/>
              <w:snapToGrid w:val="0"/>
              <w:spacing w:before="0" w:beforeAutospacing="0" w:after="0" w:afterAutospacing="0" w:line="240" w:lineRule="auto"/>
              <w:ind w:leftChars="0"/>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材质：304不锈钢</w:t>
            </w:r>
            <w:r>
              <w:rPr>
                <w:rFonts w:hint="eastAsia" w:ascii="宋体" w:hAnsi="宋体" w:eastAsia="宋体" w:cs="宋体"/>
                <w:color w:val="auto"/>
                <w:sz w:val="21"/>
                <w:szCs w:val="21"/>
                <w:lang w:val="en-US" w:eastAsia="zh-CN"/>
              </w:rPr>
              <w:t>防水</w:t>
            </w:r>
            <w:r>
              <w:rPr>
                <w:rFonts w:hint="eastAsia" w:ascii="宋体" w:hAnsi="宋体" w:eastAsia="宋体" w:cs="宋体"/>
                <w:color w:val="auto"/>
                <w:sz w:val="21"/>
                <w:szCs w:val="21"/>
              </w:rPr>
              <w:t>，1.5mm厚冷轧钢板</w:t>
            </w:r>
          </w:p>
          <w:p w14:paraId="2D141FED">
            <w:pPr>
              <w:pStyle w:val="8"/>
              <w:pageBreakBefore w:val="0"/>
              <w:numPr>
                <w:ilvl w:val="0"/>
                <w:numId w:val="0"/>
              </w:numPr>
              <w:kinsoku/>
              <w:wordWrap/>
              <w:overflowPunct/>
              <w:topLinePunct w:val="0"/>
              <w:autoSpaceDE/>
              <w:autoSpaceDN/>
              <w:bidi w:val="0"/>
              <w:adjustRightInd w:val="0"/>
              <w:snapToGrid w:val="0"/>
              <w:spacing w:before="0" w:beforeAutospacing="0" w:after="0" w:afterAutospacing="0" w:line="240" w:lineRule="auto"/>
              <w:ind w:leftChars="0"/>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600mm*800mm*200mm</w:t>
            </w:r>
          </w:p>
          <w:p w14:paraId="50BEE1E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3、直流电源、插座等</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7328A">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2</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E675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只</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175C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4D55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3921F">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r>
      <w:tr w14:paraId="4FFE39D6">
        <w:tblPrEx>
          <w:tblCellMar>
            <w:top w:w="0" w:type="dxa"/>
            <w:left w:w="108" w:type="dxa"/>
            <w:bottom w:w="0" w:type="dxa"/>
            <w:right w:w="108" w:type="dxa"/>
          </w:tblCellMar>
        </w:tblPrEx>
        <w:trPr>
          <w:trHeight w:val="500" w:hRule="atLeast"/>
        </w:trPr>
        <w:tc>
          <w:tcPr>
            <w:tcW w:w="3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7384D">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合计</w:t>
            </w:r>
          </w:p>
        </w:tc>
        <w:tc>
          <w:tcPr>
            <w:tcW w:w="940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EAAE7E0">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Cs w:val="21"/>
              </w:rPr>
              <w:t>按实际</w:t>
            </w:r>
            <w:r>
              <w:rPr>
                <w:rFonts w:hint="eastAsia" w:ascii="宋体" w:hAnsi="宋体" w:eastAsia="宋体" w:cs="宋体"/>
                <w:color w:val="auto"/>
                <w:szCs w:val="21"/>
                <w:lang w:val="en-US" w:eastAsia="zh-CN"/>
              </w:rPr>
              <w:t>安装</w:t>
            </w:r>
            <w:r>
              <w:rPr>
                <w:rFonts w:hint="eastAsia" w:ascii="宋体" w:hAnsi="宋体" w:eastAsia="宋体" w:cs="宋体"/>
                <w:color w:val="auto"/>
                <w:szCs w:val="21"/>
              </w:rPr>
              <w:t>数量结算</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35BC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9C1AC">
            <w:pPr>
              <w:pageBreakBefore w:val="0"/>
              <w:kinsoku/>
              <w:wordWrap/>
              <w:overflowPunct/>
              <w:topLinePunct w:val="0"/>
              <w:autoSpaceDE/>
              <w:autoSpaceDN/>
              <w:bidi w:val="0"/>
              <w:adjustRightInd w:val="0"/>
              <w:snapToGrid w:val="0"/>
              <w:spacing w:beforeAutospacing="0" w:afterAutospacing="0" w:line="240" w:lineRule="auto"/>
              <w:ind w:leftChars="-47" w:hanging="98" w:hangingChars="47"/>
              <w:jc w:val="center"/>
              <w:rPr>
                <w:rFonts w:hint="eastAsia" w:ascii="宋体" w:hAnsi="宋体" w:eastAsia="宋体" w:cs="宋体"/>
                <w:color w:val="auto"/>
                <w:sz w:val="21"/>
                <w:szCs w:val="21"/>
              </w:rPr>
            </w:pPr>
          </w:p>
        </w:tc>
      </w:tr>
    </w:tbl>
    <w:p w14:paraId="014E361E">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4、文港路校区分体空调</w:t>
      </w:r>
    </w:p>
    <w:tbl>
      <w:tblPr>
        <w:tblStyle w:val="4"/>
        <w:tblW w:w="14187" w:type="dxa"/>
        <w:tblInd w:w="96" w:type="dxa"/>
        <w:tblLayout w:type="fixed"/>
        <w:tblCellMar>
          <w:top w:w="0" w:type="dxa"/>
          <w:left w:w="108" w:type="dxa"/>
          <w:bottom w:w="0" w:type="dxa"/>
          <w:right w:w="108" w:type="dxa"/>
        </w:tblCellMar>
      </w:tblPr>
      <w:tblGrid>
        <w:gridCol w:w="721"/>
        <w:gridCol w:w="2464"/>
        <w:gridCol w:w="7039"/>
        <w:gridCol w:w="864"/>
        <w:gridCol w:w="660"/>
        <w:gridCol w:w="864"/>
        <w:gridCol w:w="900"/>
        <w:gridCol w:w="675"/>
      </w:tblGrid>
      <w:tr w14:paraId="7E547B89">
        <w:tblPrEx>
          <w:tblCellMar>
            <w:top w:w="0" w:type="dxa"/>
            <w:left w:w="108" w:type="dxa"/>
            <w:bottom w:w="0" w:type="dxa"/>
            <w:right w:w="108" w:type="dxa"/>
          </w:tblCellMar>
        </w:tblPrEx>
        <w:trPr>
          <w:trHeight w:val="624"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863B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序号</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FF54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品目名称</w:t>
            </w:r>
          </w:p>
        </w:tc>
        <w:tc>
          <w:tcPr>
            <w:tcW w:w="70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DD1F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技术参数</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00E1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数量</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ACCC">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单位</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C974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单价</w:t>
            </w:r>
            <w:r>
              <w:rPr>
                <w:rFonts w:hint="eastAsia" w:ascii="宋体" w:hAnsi="宋体" w:eastAsia="宋体" w:cs="宋体"/>
                <w:b/>
                <w:bCs/>
                <w:color w:val="auto"/>
                <w:spacing w:val="6"/>
                <w:lang w:eastAsia="zh-CN"/>
              </w:rPr>
              <w:t>（</w:t>
            </w:r>
            <w:r>
              <w:rPr>
                <w:rFonts w:hint="eastAsia" w:ascii="宋体" w:hAnsi="宋体" w:eastAsia="宋体" w:cs="宋体"/>
                <w:b/>
                <w:bCs/>
                <w:color w:val="auto"/>
                <w:spacing w:val="6"/>
                <w:lang w:val="en-US" w:eastAsia="zh-CN"/>
              </w:rPr>
              <w:t>元</w:t>
            </w:r>
            <w:r>
              <w:rPr>
                <w:rFonts w:hint="eastAsia" w:ascii="宋体" w:hAnsi="宋体" w:eastAsia="宋体" w:cs="宋体"/>
                <w:b/>
                <w:bCs/>
                <w:color w:val="auto"/>
                <w:spacing w:val="6"/>
                <w:lang w:eastAsia="zh-CN"/>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EAF5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合价</w:t>
            </w:r>
            <w:r>
              <w:rPr>
                <w:rFonts w:hint="eastAsia" w:ascii="宋体" w:hAnsi="宋体" w:eastAsia="宋体" w:cs="宋体"/>
                <w:b/>
                <w:bCs/>
                <w:color w:val="auto"/>
                <w:spacing w:val="6"/>
                <w:lang w:eastAsia="zh-CN"/>
              </w:rPr>
              <w:t>（</w:t>
            </w:r>
            <w:r>
              <w:rPr>
                <w:rFonts w:hint="eastAsia" w:ascii="宋体" w:hAnsi="宋体" w:eastAsia="宋体" w:cs="宋体"/>
                <w:b/>
                <w:bCs/>
                <w:color w:val="auto"/>
                <w:spacing w:val="6"/>
                <w:lang w:val="en-US" w:eastAsia="zh-CN"/>
              </w:rPr>
              <w:t>元</w:t>
            </w:r>
            <w:r>
              <w:rPr>
                <w:rFonts w:hint="eastAsia" w:ascii="宋体" w:hAnsi="宋体" w:eastAsia="宋体" w:cs="宋体"/>
                <w:b/>
                <w:bCs/>
                <w:color w:val="auto"/>
                <w:spacing w:val="6"/>
                <w:lang w:eastAsia="zh-CN"/>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FDCD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备注</w:t>
            </w:r>
          </w:p>
        </w:tc>
      </w:tr>
      <w:tr w14:paraId="1C186C60">
        <w:tblPrEx>
          <w:tblCellMar>
            <w:top w:w="0" w:type="dxa"/>
            <w:left w:w="108" w:type="dxa"/>
            <w:bottom w:w="0" w:type="dxa"/>
            <w:right w:w="108" w:type="dxa"/>
          </w:tblCellMar>
        </w:tblPrEx>
        <w:trPr>
          <w:trHeight w:val="50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1361C">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1</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0675A">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单相空调控制插座</w:t>
            </w:r>
          </w:p>
        </w:tc>
        <w:tc>
          <w:tcPr>
            <w:tcW w:w="70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985F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1、支持多协议通信，通过数据线连插座RS485通信接口或/4G/LORA/BT与上位机进行通信，可通过DL/T 645-2007、Q/GDW 1376.1-2013、MODBUS、MQTT等协议采集插座数据和下发指令参数</w:t>
            </w:r>
          </w:p>
          <w:p w14:paraId="6E5451E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2、具有参数监测功能，模块正常上电后接上负载，上位机通过网络连接插座，通过标准DL/T 645、MODBUS、MQTT等协议可读取模块电流、电压、功率因素、有功、无功及复费率等及其他设定的定时控制等管理参数</w:t>
            </w:r>
          </w:p>
          <w:p w14:paraId="4649DE3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3、具有远程控制功能，模块正常上电后接上负载，上位机通过网络连接模块，可通过后台软件实现智控模块的远程拉合闸，进行策略控制</w:t>
            </w:r>
          </w:p>
          <w:p w14:paraId="4E3BF53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具有综合参数读取功能，模块与上位机软件连接，上位机可设定过载断电、定时关电、负载识别等各种管理参数下发并保存到插座后，通过综合参数读取按钮可读取当前插座的多有功能参数和继电器状态等各种功能状态</w:t>
            </w:r>
          </w:p>
          <w:p w14:paraId="3C772E1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5、具有过载断电功能，当在后台软件设置过载功率为1A，当负载功率大于1A时，模块自动拉闸断电；可设定6个以上时间段不同过载功率</w:t>
            </w:r>
          </w:p>
          <w:p w14:paraId="3A5C6DE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6、具有负载识别功能，后台软件设置过载功为1000W，插上500W热得快时，模块自动断电，实现恶性负载有效识别；可学习建立热得快、电吹风等常用电器特征库，通过容许和禁用某类负载实现有效识别和安全管理</w:t>
            </w:r>
          </w:p>
          <w:p w14:paraId="0197817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7、具有空调识别功能，插座接入空调负载时可以正常使用，当接入其他负载时立即断电</w:t>
            </w:r>
          </w:p>
          <w:p w14:paraId="0179C24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8、具有温度检测功能，可测量安装空间温度，可设定检测或采集到某个温度值时发出红外开启或关闭指令，也可执行拉合闸指令</w:t>
            </w:r>
          </w:p>
          <w:p w14:paraId="6DBD7A4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9、具有温度锁定功能，可根据环境或使用需要设定并锁定温度阈值，防止并修正违规修改阈值</w:t>
            </w:r>
          </w:p>
          <w:p w14:paraId="2B4330F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支持多种费率，控制模块具有尖峰谷平四个费率时段，可扩展设定更多费率时段</w:t>
            </w:r>
          </w:p>
          <w:p w14:paraId="6640403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10、具有掉电存储功能，上位机发送策略控制参数给模块成功后，断开模块电源，重新上电后读取模块综合读数，发送的策略控制参数无丢失电存储</w:t>
            </w:r>
          </w:p>
          <w:p w14:paraId="4A1EBA0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11、具有联动功能，新增水机的能耗统计以及水机的集控功能，对接原有空调控制系统，与风冷机联动。</w:t>
            </w:r>
          </w:p>
          <w:p w14:paraId="0CEC467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12、支持可视化方式对设备信息进行总览，包括空调安装位置、空调运行状态、空调风扇、空调模式、空调温度、空调湿度等</w:t>
            </w:r>
          </w:p>
          <w:p w14:paraId="09CA81C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具有异常告警功能，当设备出现温度过高、电流电压过高过低、电量过低等异常情况时，设备自动产生告警并上报到后台并推送告警信息至管理员手机，管理员可以在系统查看到该告警记录，根据上报的告警信息进行处理</w:t>
            </w:r>
          </w:p>
          <w:p w14:paraId="217B1F5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14、支持生成报表，自动统计形成节电分析以及能源统计报表，可以通过日、周、月、年、自定义时段、每个区域、每栋楼、每个房间等多种维度快速查询空调耗能数据，可对报表进行导出、打印等</w:t>
            </w:r>
          </w:p>
          <w:p w14:paraId="5AA6164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15、具有定时控制功能，系统可设置通、断电时间，并进行拉合闸控制</w:t>
            </w:r>
          </w:p>
          <w:p w14:paraId="4EC7FDF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16、具有遥控功能，内容如下：</w:t>
            </w:r>
          </w:p>
          <w:p w14:paraId="363FA73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a）具有定时遥控功能，系统可设置定时红外遥控开启、关闭，并自动执行；</w:t>
            </w:r>
          </w:p>
          <w:p w14:paraId="685BC1B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b）具有红外遥控功能，接受上位机的开启、关闭，运行模式等数据后可通过红外与对应的空调通讯，实现空调的运行控制和参数设定</w:t>
            </w:r>
          </w:p>
          <w:p w14:paraId="56C266F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17、具有负荷控制功能，可对分路电流在（0～16）A范围没进行设置；当分路电流超过设置的最大电流的时间超过设定值时，应自动切断该分路电源</w:t>
            </w:r>
          </w:p>
          <w:p w14:paraId="10AB506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18、具有数据保持功能，当电流瞬时或断电时，应保持数据不丢失；恢复供电后，保存的数据不丢失。系统应正常工作</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A123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138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700B9">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只</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EBB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Cs w:val="21"/>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9818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Cs w:val="21"/>
                <w:lang w:val="en-US" w:eastAsia="zh-CN"/>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4DC9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Cs w:val="21"/>
              </w:rPr>
            </w:pPr>
          </w:p>
        </w:tc>
      </w:tr>
      <w:tr w14:paraId="25E5F852">
        <w:tblPrEx>
          <w:tblCellMar>
            <w:top w:w="0" w:type="dxa"/>
            <w:left w:w="108" w:type="dxa"/>
            <w:bottom w:w="0" w:type="dxa"/>
            <w:right w:w="108" w:type="dxa"/>
          </w:tblCellMar>
        </w:tblPrEx>
        <w:trPr>
          <w:trHeight w:val="50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7E3A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2</w:t>
            </w:r>
          </w:p>
        </w:tc>
        <w:tc>
          <w:tcPr>
            <w:tcW w:w="2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FF6F4">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三相空调控制模块</w:t>
            </w:r>
          </w:p>
        </w:tc>
        <w:tc>
          <w:tcPr>
            <w:tcW w:w="70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BAD66">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1、支持多协议通信，通过数据线连插座RS485通信接口或/4G/LORA/BT与上位机进行通信，可通过DL/T 645-2007、Q/GDW 1376.1-2013、MODBUS、MQTT等协议采集插座数据和下发指令参数</w:t>
            </w:r>
          </w:p>
          <w:p w14:paraId="05681FF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2、具有参数监测功能，模块正常上电后接上负载，上位机通过网络连接插座，通过标准DL/T 645、MODBUS、MQTT等协议可读取模块电流、电压、功率因素、有功、无功及复费率等及其他设定的定时控制等管理参数</w:t>
            </w:r>
          </w:p>
          <w:p w14:paraId="78BB7C8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3、具有远程控制功能，模块正常上电后接上负载，上位机通过网络连接模块，可通过后台软件实现智控模块的远程拉合闸，进行策略控制</w:t>
            </w:r>
          </w:p>
          <w:p w14:paraId="24FC283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具有综合参数读取功能，模块与上位机软件连接，上位机可设定过载断电、定时关电、负载识别等各种管理参数下发并保存到插座后，通过综合参数读取按钮可读取当前插座的多有功能参数和继电器状态等各种功能状态</w:t>
            </w:r>
          </w:p>
          <w:p w14:paraId="5479B94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5、具有过载断电功能，当在后台软件设置过载功率为1A，当负载功率大于1A时，模块自动拉闸断电；可设定6个以上时间段不同过载功率</w:t>
            </w:r>
          </w:p>
          <w:p w14:paraId="42B2C41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6、具有负载识别功能，后台软件设置过载功为1000W，插上500W热得快时，模块自动断电，实现恶性负载有效识别；可学习建立热得快、电吹风等常用电器特征库，通过容许和禁用某类负载实现有效识别和安全管理</w:t>
            </w:r>
          </w:p>
          <w:p w14:paraId="649CEB4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7、具有空调识别功能，插座接入空调负载时可以正常使用，当接入其他负载时立即断电</w:t>
            </w:r>
          </w:p>
          <w:p w14:paraId="2F2A2E2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8、具有温度检测功能，可测量安装空间温度，可设定检测或采集到某个温度值时发出红外开启或关闭指令，也可执行拉合闸指令</w:t>
            </w:r>
          </w:p>
          <w:p w14:paraId="6E7FD0D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9、具有温度锁定功能，可根据环境或使用需要设定并锁定温度阈值，防止并修正违规修改阈值</w:t>
            </w:r>
          </w:p>
          <w:p w14:paraId="5C25198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支持多种费率，控制模块具有尖峰谷平四个费率时段，可扩展设定更多费率时段</w:t>
            </w:r>
          </w:p>
          <w:p w14:paraId="4CC85F5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10、具有掉电存储功能，上位机发送策略控制参数给模块成功后，断开模块电源，重新上电后读取模块综合读数，发送的策略控制参数无丢失电存储</w:t>
            </w:r>
          </w:p>
          <w:p w14:paraId="2D11654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11、具有联动功能，新增水机的能耗统计以及水机的集控功能，对接原有空调控制系统，与风冷机联动。</w:t>
            </w:r>
          </w:p>
          <w:p w14:paraId="5E5AB2D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12、支持可视化方式对设备信息进行总览，包括空调安装位置、空调运行状态、空调风扇、空调模式、空调温度、空调湿度等</w:t>
            </w:r>
          </w:p>
          <w:p w14:paraId="1FA76D2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具有异常告警功能，当设备出现温度过高、电流电压过高过低、电量过低等异常情况时，设备自动产生告警并上报到后台并推送告警信息至管理员手机，管理员可以在系统查看到该告警记录，根据上报的告警信息进行处理</w:t>
            </w:r>
          </w:p>
          <w:p w14:paraId="2FD0948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14、支持生成报表，自动统计形成节电分析以及能源统计报表，可以通过日、周、月、年、自定义时段、每个区域、每栋楼、每个房间等多种维度快速查询空调耗能数据，可对报表进行导出、打印等</w:t>
            </w:r>
          </w:p>
          <w:p w14:paraId="23194C0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15、具有定时控制功能，系统可设置通、断电时间，并进行拉合闸控制</w:t>
            </w:r>
          </w:p>
          <w:p w14:paraId="4175F53E">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16、具有遥控功能，内容如下：</w:t>
            </w:r>
          </w:p>
          <w:p w14:paraId="13EE38E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a）具有定时遥控功能，系统可设置定时红外遥控开启、关闭，并自动执行；</w:t>
            </w:r>
          </w:p>
          <w:p w14:paraId="47B04F1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b）具有红外遥控功能，接受上位机的开启、关闭，运行模式等数据后可通过红外与对应的空调通讯，实现空调的运行控制和参数设定</w:t>
            </w:r>
          </w:p>
          <w:p w14:paraId="793585E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17、具有负荷控制功能，可对分路电流在（0～16）A范围没进行设置；当分路电流超过设置的最大电流的时间超过设定值时，应自动切断该分路电源</w:t>
            </w:r>
          </w:p>
          <w:p w14:paraId="104DD5B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18、具有数据保持功能，当电流瞬时或断电时，应保持数据不丢失；恢复供电后，保存的数据不丢失。系统应正常工作</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2829D">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257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70C62">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只</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D38B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Cs w:val="21"/>
                <w:lang w:eastAsia="zh-CN"/>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A31B0">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Cs w:val="21"/>
                <w:lang w:val="en-US" w:eastAsia="zh-CN"/>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E44E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Cs w:val="21"/>
              </w:rPr>
            </w:pPr>
          </w:p>
        </w:tc>
      </w:tr>
      <w:tr w14:paraId="2AE62759">
        <w:tblPrEx>
          <w:tblCellMar>
            <w:top w:w="0" w:type="dxa"/>
            <w:left w:w="108" w:type="dxa"/>
            <w:bottom w:w="0" w:type="dxa"/>
            <w:right w:w="108" w:type="dxa"/>
          </w:tblCellMar>
        </w:tblPrEx>
        <w:trPr>
          <w:trHeight w:val="500" w:hRule="atLeast"/>
        </w:trPr>
        <w:tc>
          <w:tcPr>
            <w:tcW w:w="3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0611DA">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合计</w:t>
            </w:r>
          </w:p>
        </w:tc>
        <w:tc>
          <w:tcPr>
            <w:tcW w:w="942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21748F5">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Cs w:val="21"/>
              </w:rPr>
            </w:pPr>
            <w:r>
              <w:rPr>
                <w:rFonts w:hint="eastAsia" w:ascii="宋体" w:hAnsi="宋体" w:eastAsia="宋体" w:cs="宋体"/>
                <w:color w:val="auto"/>
                <w:szCs w:val="21"/>
              </w:rPr>
              <w:t>按实际</w:t>
            </w:r>
            <w:r>
              <w:rPr>
                <w:rFonts w:hint="eastAsia" w:ascii="宋体" w:hAnsi="宋体" w:eastAsia="宋体" w:cs="宋体"/>
                <w:color w:val="auto"/>
                <w:szCs w:val="21"/>
                <w:lang w:val="en-US" w:eastAsia="zh-CN"/>
              </w:rPr>
              <w:t>安装</w:t>
            </w:r>
            <w:r>
              <w:rPr>
                <w:rFonts w:hint="eastAsia" w:ascii="宋体" w:hAnsi="宋体" w:eastAsia="宋体" w:cs="宋体"/>
                <w:color w:val="auto"/>
                <w:szCs w:val="21"/>
              </w:rPr>
              <w:t>数量结算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7ABAA">
            <w:pPr>
              <w:pageBreakBefore w:val="0"/>
              <w:widowControl/>
              <w:kinsoku/>
              <w:wordWrap/>
              <w:overflowPunct/>
              <w:topLinePunct w:val="0"/>
              <w:autoSpaceDE/>
              <w:autoSpaceDN/>
              <w:bidi w:val="0"/>
              <w:adjustRightInd w:val="0"/>
              <w:snapToGrid w:val="0"/>
              <w:spacing w:beforeAutospacing="0" w:afterAutospacing="0" w:line="240" w:lineRule="auto"/>
              <w:jc w:val="center"/>
              <w:textAlignment w:val="center"/>
              <w:rPr>
                <w:rFonts w:hint="eastAsia" w:ascii="宋体" w:hAnsi="宋体" w:eastAsia="宋体" w:cs="宋体"/>
                <w:color w:val="auto"/>
                <w:szCs w:val="21"/>
                <w:lang w:val="en-US" w:eastAsia="zh-CN"/>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903C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Cs w:val="21"/>
              </w:rPr>
            </w:pPr>
          </w:p>
        </w:tc>
      </w:tr>
    </w:tbl>
    <w:p w14:paraId="4613DDDD">
      <w:pPr>
        <w:pageBreakBefore w:val="0"/>
        <w:kinsoku/>
        <w:wordWrap/>
        <w:overflowPunct/>
        <w:topLinePunct w:val="0"/>
        <w:autoSpaceDE/>
        <w:autoSpaceDN/>
        <w:bidi w:val="0"/>
        <w:adjustRightInd w:val="0"/>
        <w:snapToGrid w:val="0"/>
        <w:spacing w:beforeAutospacing="0" w:afterAutospacing="0" w:line="360" w:lineRule="auto"/>
        <w:jc w:val="center"/>
        <w:rPr>
          <w:rFonts w:ascii="微软雅黑" w:hAnsi="微软雅黑" w:eastAsia="微软雅黑"/>
          <w:color w:val="auto"/>
          <w:sz w:val="32"/>
          <w:szCs w:val="32"/>
        </w:rPr>
      </w:pPr>
    </w:p>
    <w:p w14:paraId="2FEFEE04">
      <w:pPr>
        <w:pageBreakBefore w:val="0"/>
        <w:kinsoku/>
        <w:wordWrap/>
        <w:overflowPunct/>
        <w:topLinePunct w:val="0"/>
        <w:autoSpaceDE/>
        <w:autoSpaceDN/>
        <w:bidi w:val="0"/>
        <w:adjustRightInd w:val="0"/>
        <w:snapToGrid w:val="0"/>
        <w:spacing w:beforeAutospacing="0" w:afterAutospacing="0" w:line="360" w:lineRule="auto"/>
        <w:jc w:val="center"/>
        <w:rPr>
          <w:rFonts w:ascii="微软雅黑" w:hAnsi="微软雅黑" w:eastAsia="微软雅黑"/>
          <w:color w:val="auto"/>
          <w:sz w:val="32"/>
          <w:szCs w:val="32"/>
        </w:rPr>
      </w:pPr>
    </w:p>
    <w:p w14:paraId="45B44670">
      <w:pPr>
        <w:pageBreakBefore w:val="0"/>
        <w:kinsoku/>
        <w:wordWrap/>
        <w:overflowPunct/>
        <w:topLinePunct w:val="0"/>
        <w:autoSpaceDE/>
        <w:autoSpaceDN/>
        <w:bidi w:val="0"/>
        <w:adjustRightInd w:val="0"/>
        <w:snapToGrid w:val="0"/>
        <w:spacing w:beforeAutospacing="0" w:afterAutospacing="0" w:line="360" w:lineRule="auto"/>
        <w:jc w:val="center"/>
        <w:rPr>
          <w:rFonts w:hint="eastAsia" w:ascii="微软雅黑" w:hAnsi="微软雅黑" w:eastAsia="微软雅黑"/>
          <w:color w:val="auto"/>
          <w:sz w:val="32"/>
          <w:szCs w:val="32"/>
          <w:lang w:val="en-US" w:eastAsia="zh-CN"/>
        </w:rPr>
        <w:sectPr>
          <w:pgSz w:w="16838" w:h="11906" w:orient="landscape"/>
          <w:pgMar w:top="1463" w:right="1270" w:bottom="1293" w:left="1213" w:header="851" w:footer="992" w:gutter="0"/>
          <w:pgBorders>
            <w:top w:val="none" w:sz="0" w:space="0"/>
            <w:left w:val="none" w:sz="0" w:space="0"/>
            <w:bottom w:val="none" w:sz="0" w:space="0"/>
            <w:right w:val="none" w:sz="0" w:space="0"/>
          </w:pgBorders>
          <w:pgNumType w:fmt="numberInDash"/>
          <w:cols w:space="425" w:num="1"/>
          <w:titlePg/>
          <w:docGrid w:type="linesAndChars" w:linePitch="312" w:charSpace="0"/>
        </w:sectPr>
      </w:pPr>
    </w:p>
    <w:p w14:paraId="2A30F689">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二、水电能耗系统技术参数（教学办公区域）</w:t>
      </w:r>
    </w:p>
    <w:p w14:paraId="3AE51120">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1、海洋路校区</w:t>
      </w:r>
    </w:p>
    <w:tbl>
      <w:tblPr>
        <w:tblStyle w:val="9"/>
        <w:tblW w:w="141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557"/>
        <w:gridCol w:w="7677"/>
        <w:gridCol w:w="691"/>
        <w:gridCol w:w="665"/>
        <w:gridCol w:w="889"/>
        <w:gridCol w:w="828"/>
        <w:gridCol w:w="1018"/>
      </w:tblGrid>
      <w:tr w14:paraId="63F75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19" w:type="dxa"/>
            <w:tcBorders>
              <w:top w:val="single" w:color="auto" w:sz="4" w:space="0"/>
              <w:left w:val="single" w:color="auto" w:sz="4" w:space="0"/>
              <w:bottom w:val="single" w:color="auto" w:sz="4" w:space="0"/>
              <w:right w:val="single" w:color="auto" w:sz="4" w:space="0"/>
            </w:tcBorders>
            <w:vAlign w:val="center"/>
          </w:tcPr>
          <w:p w14:paraId="2F6AB097">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序号</w:t>
            </w:r>
          </w:p>
        </w:tc>
        <w:tc>
          <w:tcPr>
            <w:tcW w:w="1557" w:type="dxa"/>
            <w:tcBorders>
              <w:top w:val="single" w:color="auto" w:sz="4" w:space="0"/>
              <w:left w:val="nil"/>
              <w:bottom w:val="single" w:color="auto" w:sz="4" w:space="0"/>
              <w:right w:val="single" w:color="auto" w:sz="4" w:space="0"/>
            </w:tcBorders>
            <w:vAlign w:val="center"/>
          </w:tcPr>
          <w:p w14:paraId="5C95FD3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产品名称</w:t>
            </w:r>
          </w:p>
        </w:tc>
        <w:tc>
          <w:tcPr>
            <w:tcW w:w="7677" w:type="dxa"/>
            <w:tcBorders>
              <w:top w:val="single" w:color="auto" w:sz="4" w:space="0"/>
              <w:left w:val="nil"/>
              <w:bottom w:val="single" w:color="auto" w:sz="4" w:space="0"/>
              <w:right w:val="single" w:color="auto" w:sz="4" w:space="0"/>
            </w:tcBorders>
            <w:vAlign w:val="center"/>
          </w:tcPr>
          <w:p w14:paraId="7207C85F">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技术参数</w:t>
            </w:r>
          </w:p>
        </w:tc>
        <w:tc>
          <w:tcPr>
            <w:tcW w:w="691" w:type="dxa"/>
            <w:tcBorders>
              <w:top w:val="single" w:color="auto" w:sz="4" w:space="0"/>
              <w:left w:val="nil"/>
              <w:bottom w:val="single" w:color="auto" w:sz="4" w:space="0"/>
              <w:right w:val="single" w:color="auto" w:sz="4" w:space="0"/>
            </w:tcBorders>
            <w:vAlign w:val="center"/>
          </w:tcPr>
          <w:p w14:paraId="75D8073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单位</w:t>
            </w:r>
          </w:p>
        </w:tc>
        <w:tc>
          <w:tcPr>
            <w:tcW w:w="665" w:type="dxa"/>
            <w:tcBorders>
              <w:top w:val="single" w:color="auto" w:sz="4" w:space="0"/>
              <w:left w:val="nil"/>
              <w:bottom w:val="single" w:color="auto" w:sz="4" w:space="0"/>
              <w:right w:val="single" w:color="auto" w:sz="4" w:space="0"/>
            </w:tcBorders>
            <w:vAlign w:val="center"/>
          </w:tcPr>
          <w:p w14:paraId="18FB7C1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数量</w:t>
            </w:r>
          </w:p>
        </w:tc>
        <w:tc>
          <w:tcPr>
            <w:tcW w:w="889" w:type="dxa"/>
            <w:tcBorders>
              <w:top w:val="single" w:color="auto" w:sz="4" w:space="0"/>
              <w:left w:val="nil"/>
              <w:bottom w:val="single" w:color="auto" w:sz="4" w:space="0"/>
              <w:right w:val="single" w:color="auto" w:sz="4" w:space="0"/>
            </w:tcBorders>
            <w:vAlign w:val="center"/>
          </w:tcPr>
          <w:p w14:paraId="77F4848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单价</w:t>
            </w:r>
            <w:r>
              <w:rPr>
                <w:rFonts w:hint="eastAsia" w:ascii="宋体" w:hAnsi="宋体" w:eastAsia="宋体" w:cs="宋体"/>
                <w:b/>
                <w:bCs/>
                <w:color w:val="auto"/>
                <w:spacing w:val="6"/>
                <w:lang w:eastAsia="zh-CN"/>
              </w:rPr>
              <w:t>（</w:t>
            </w:r>
            <w:r>
              <w:rPr>
                <w:rFonts w:hint="eastAsia" w:ascii="宋体" w:hAnsi="宋体" w:eastAsia="宋体" w:cs="宋体"/>
                <w:b/>
                <w:bCs/>
                <w:color w:val="auto"/>
                <w:spacing w:val="6"/>
                <w:lang w:val="en-US" w:eastAsia="zh-CN"/>
              </w:rPr>
              <w:t>元</w:t>
            </w:r>
            <w:r>
              <w:rPr>
                <w:rFonts w:hint="eastAsia" w:ascii="宋体" w:hAnsi="宋体" w:eastAsia="宋体" w:cs="宋体"/>
                <w:b/>
                <w:bCs/>
                <w:color w:val="auto"/>
                <w:spacing w:val="6"/>
                <w:lang w:eastAsia="zh-CN"/>
              </w:rPr>
              <w:t>）</w:t>
            </w:r>
          </w:p>
        </w:tc>
        <w:tc>
          <w:tcPr>
            <w:tcW w:w="828" w:type="dxa"/>
            <w:tcBorders>
              <w:top w:val="single" w:color="auto" w:sz="4" w:space="0"/>
              <w:left w:val="nil"/>
              <w:bottom w:val="single" w:color="auto" w:sz="4" w:space="0"/>
              <w:right w:val="single" w:color="auto" w:sz="4" w:space="0"/>
            </w:tcBorders>
            <w:vAlign w:val="center"/>
          </w:tcPr>
          <w:p w14:paraId="3B3D5FC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合价</w:t>
            </w:r>
            <w:r>
              <w:rPr>
                <w:rFonts w:hint="eastAsia" w:ascii="宋体" w:hAnsi="宋体" w:eastAsia="宋体" w:cs="宋体"/>
                <w:b/>
                <w:bCs/>
                <w:color w:val="auto"/>
                <w:spacing w:val="6"/>
                <w:lang w:eastAsia="zh-CN"/>
              </w:rPr>
              <w:t>（</w:t>
            </w:r>
            <w:r>
              <w:rPr>
                <w:rFonts w:hint="eastAsia" w:ascii="宋体" w:hAnsi="宋体" w:eastAsia="宋体" w:cs="宋体"/>
                <w:b/>
                <w:bCs/>
                <w:color w:val="auto"/>
                <w:spacing w:val="6"/>
                <w:lang w:val="en-US" w:eastAsia="zh-CN"/>
              </w:rPr>
              <w:t>元</w:t>
            </w:r>
            <w:r>
              <w:rPr>
                <w:rFonts w:hint="eastAsia" w:ascii="宋体" w:hAnsi="宋体" w:eastAsia="宋体" w:cs="宋体"/>
                <w:b/>
                <w:bCs/>
                <w:color w:val="auto"/>
                <w:spacing w:val="6"/>
                <w:lang w:eastAsia="zh-CN"/>
              </w:rPr>
              <w:t>）</w:t>
            </w:r>
          </w:p>
        </w:tc>
        <w:tc>
          <w:tcPr>
            <w:tcW w:w="1018" w:type="dxa"/>
            <w:tcBorders>
              <w:top w:val="single" w:color="auto" w:sz="4" w:space="0"/>
              <w:left w:val="nil"/>
              <w:bottom w:val="single" w:color="auto" w:sz="4" w:space="0"/>
              <w:right w:val="single" w:color="auto" w:sz="4" w:space="0"/>
            </w:tcBorders>
            <w:vAlign w:val="center"/>
          </w:tcPr>
          <w:p w14:paraId="0072BB3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rPr>
            </w:pPr>
            <w:r>
              <w:rPr>
                <w:rFonts w:hint="eastAsia" w:ascii="宋体" w:hAnsi="宋体" w:eastAsia="宋体" w:cs="宋体"/>
                <w:b/>
                <w:bCs/>
                <w:color w:val="auto"/>
                <w:spacing w:val="6"/>
              </w:rPr>
              <w:t>备注</w:t>
            </w:r>
          </w:p>
        </w:tc>
      </w:tr>
      <w:tr w14:paraId="1DE54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6206D69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rPr>
              <w:t>1</w:t>
            </w:r>
          </w:p>
        </w:tc>
        <w:tc>
          <w:tcPr>
            <w:tcW w:w="1557" w:type="dxa"/>
            <w:tcBorders>
              <w:top w:val="single" w:color="auto" w:sz="4" w:space="0"/>
              <w:left w:val="nil"/>
              <w:bottom w:val="single" w:color="auto" w:sz="4" w:space="0"/>
              <w:right w:val="single" w:color="auto" w:sz="4" w:space="0"/>
            </w:tcBorders>
            <w:shd w:val="clear" w:color="auto" w:fill="auto"/>
            <w:vAlign w:val="center"/>
          </w:tcPr>
          <w:p w14:paraId="50295E99">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水</w:t>
            </w:r>
            <w:r>
              <w:rPr>
                <w:rFonts w:hint="eastAsia" w:ascii="宋体" w:hAnsi="宋体" w:eastAsia="宋体" w:cs="宋体"/>
                <w:color w:val="auto"/>
                <w:spacing w:val="6"/>
                <w:sz w:val="21"/>
                <w:szCs w:val="21"/>
                <w:lang w:val="en-US" w:eastAsia="zh-CN"/>
              </w:rPr>
              <w:t>电</w:t>
            </w:r>
            <w:r>
              <w:rPr>
                <w:rFonts w:hint="eastAsia" w:ascii="宋体" w:hAnsi="宋体" w:eastAsia="宋体" w:cs="宋体"/>
                <w:color w:val="auto"/>
                <w:spacing w:val="6"/>
                <w:sz w:val="21"/>
                <w:szCs w:val="21"/>
              </w:rPr>
              <w:t>能源计量节能监管系统软件</w:t>
            </w:r>
          </w:p>
        </w:tc>
        <w:tc>
          <w:tcPr>
            <w:tcW w:w="7677" w:type="dxa"/>
            <w:tcBorders>
              <w:top w:val="single" w:color="auto" w:sz="4" w:space="0"/>
              <w:left w:val="nil"/>
              <w:bottom w:val="single" w:color="auto" w:sz="4" w:space="0"/>
              <w:right w:val="single" w:color="auto" w:sz="4" w:space="0"/>
            </w:tcBorders>
            <w:shd w:val="clear" w:color="auto" w:fill="auto"/>
            <w:vAlign w:val="center"/>
          </w:tcPr>
          <w:p w14:paraId="0C8A351A">
            <w:pPr>
              <w:jc w:val="left"/>
              <w:rPr>
                <w:rFonts w:hint="eastAsia"/>
              </w:rPr>
            </w:pPr>
            <w:r>
              <w:rPr>
                <w:rFonts w:hint="eastAsia"/>
              </w:rPr>
              <w:t>1、软件采用 B/S 架构，前后端分离，完美支持二次开发，支持云端部署。</w:t>
            </w:r>
          </w:p>
          <w:p w14:paraId="6A971809">
            <w:pPr>
              <w:jc w:val="left"/>
              <w:rPr>
                <w:rFonts w:hint="eastAsia"/>
              </w:rPr>
            </w:pPr>
            <w:r>
              <w:rPr>
                <w:rFonts w:hint="eastAsia"/>
              </w:rPr>
              <w:t>2、物联网远程采集水、电、气、热分类能源资源数据，采集周期可设。</w:t>
            </w:r>
          </w:p>
          <w:p w14:paraId="758A60A0">
            <w:pPr>
              <w:jc w:val="left"/>
              <w:rPr>
                <w:rFonts w:hint="eastAsia"/>
              </w:rPr>
            </w:pPr>
            <w:r>
              <w:rPr>
                <w:rFonts w:hint="eastAsia"/>
              </w:rPr>
              <w:t>3、远程采集温度、湿度、空气质量及有害气体数据，实现环境在线监测。</w:t>
            </w:r>
          </w:p>
          <w:p w14:paraId="74630A1E">
            <w:pPr>
              <w:jc w:val="left"/>
              <w:rPr>
                <w:rFonts w:hint="eastAsia"/>
              </w:rPr>
            </w:pPr>
            <w:r>
              <w:rPr>
                <w:rFonts w:hint="eastAsia"/>
              </w:rPr>
              <w:t>4、对能源数据进行分类、分项（空调、动力、照明插座、特殊用电）统计、实时数据监测、报表导出打印。</w:t>
            </w:r>
          </w:p>
          <w:p w14:paraId="022ED468">
            <w:pPr>
              <w:jc w:val="left"/>
              <w:rPr>
                <w:rFonts w:hint="eastAsia"/>
              </w:rPr>
            </w:pPr>
            <w:r>
              <w:rPr>
                <w:rFonts w:hint="eastAsia"/>
              </w:rPr>
              <w:t>5、设备状态监测，重点设备监测，通讯网络监测，导入控制策略，可实现设备节能模式运行。</w:t>
            </w:r>
          </w:p>
          <w:p w14:paraId="6B83B22E">
            <w:pPr>
              <w:jc w:val="left"/>
              <w:rPr>
                <w:rFonts w:hint="eastAsia"/>
              </w:rPr>
            </w:pPr>
            <w:r>
              <w:t>6</w:t>
            </w:r>
            <w:r>
              <w:rPr>
                <w:rFonts w:hint="eastAsia"/>
              </w:rPr>
              <w:t>、AI 智能分析，数据模型建立，能耗趋势预测，阈值超标警示，运行故障报警，数据异常报警。</w:t>
            </w:r>
          </w:p>
          <w:p w14:paraId="3D3DD30C">
            <w:pPr>
              <w:jc w:val="left"/>
              <w:rPr>
                <w:rFonts w:hint="eastAsia"/>
              </w:rPr>
            </w:pPr>
            <w:r>
              <w:rPr>
                <w:rFonts w:hint="eastAsia"/>
              </w:rPr>
              <w:t>7、单位面积能耗、单位产量能耗、标杆能耗设定。</w:t>
            </w:r>
          </w:p>
          <w:p w14:paraId="36F60FD3">
            <w:pPr>
              <w:jc w:val="left"/>
              <w:rPr>
                <w:rFonts w:hint="eastAsia"/>
              </w:rPr>
            </w:pPr>
            <w:r>
              <w:rPr>
                <w:rFonts w:hint="eastAsia"/>
              </w:rPr>
              <w:t>8、对数据进行同比环比、排名对比分析、综合能源审计。</w:t>
            </w:r>
          </w:p>
          <w:p w14:paraId="233C6E18">
            <w:pPr>
              <w:jc w:val="left"/>
              <w:rPr>
                <w:rFonts w:hint="eastAsia"/>
              </w:rPr>
            </w:pPr>
            <w:r>
              <w:rPr>
                <w:rFonts w:hint="eastAsia"/>
              </w:rPr>
              <w:t>9、对能耗数据进行柱图、线图、饼图等各种形式对比显示、系统实时状态展示，实现数据可视化运行。</w:t>
            </w:r>
          </w:p>
          <w:p w14:paraId="7E637819">
            <w:pPr>
              <w:jc w:val="left"/>
              <w:rPr>
                <w:rFonts w:hint="eastAsia"/>
              </w:rPr>
            </w:pPr>
            <w:r>
              <w:rPr>
                <w:rFonts w:hint="eastAsia"/>
              </w:rPr>
              <w:t>9、数据存储、备份，支持远程异地备份。</w:t>
            </w:r>
          </w:p>
          <w:p w14:paraId="5FA1231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pacing w:val="6"/>
                <w:sz w:val="21"/>
                <w:szCs w:val="21"/>
                <w:lang w:val="en-US" w:eastAsia="zh-CN"/>
              </w:rPr>
            </w:pPr>
            <w:r>
              <w:rPr>
                <w:rFonts w:hint="eastAsia"/>
              </w:rPr>
              <w:t>1</w:t>
            </w:r>
            <w:r>
              <w:t>0</w:t>
            </w:r>
            <w:r>
              <w:rPr>
                <w:rFonts w:hint="eastAsia"/>
              </w:rPr>
              <w:t>、标准第三方应用 API 接口、上传至省市级平台。</w:t>
            </w:r>
          </w:p>
        </w:tc>
        <w:tc>
          <w:tcPr>
            <w:tcW w:w="691" w:type="dxa"/>
            <w:tcBorders>
              <w:top w:val="single" w:color="auto" w:sz="4" w:space="0"/>
              <w:left w:val="nil"/>
              <w:bottom w:val="single" w:color="auto" w:sz="4" w:space="0"/>
              <w:right w:val="single" w:color="auto" w:sz="4" w:space="0"/>
            </w:tcBorders>
            <w:shd w:val="clear" w:color="auto" w:fill="auto"/>
            <w:vAlign w:val="center"/>
          </w:tcPr>
          <w:p w14:paraId="729139B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台</w:t>
            </w:r>
          </w:p>
        </w:tc>
        <w:tc>
          <w:tcPr>
            <w:tcW w:w="665" w:type="dxa"/>
            <w:tcBorders>
              <w:top w:val="single" w:color="auto" w:sz="4" w:space="0"/>
              <w:left w:val="nil"/>
              <w:bottom w:val="single" w:color="auto" w:sz="4" w:space="0"/>
              <w:right w:val="single" w:color="auto" w:sz="4" w:space="0"/>
            </w:tcBorders>
            <w:shd w:val="clear" w:color="auto" w:fill="auto"/>
            <w:vAlign w:val="center"/>
          </w:tcPr>
          <w:p w14:paraId="61E22F3C">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1</w:t>
            </w:r>
          </w:p>
        </w:tc>
        <w:tc>
          <w:tcPr>
            <w:tcW w:w="889" w:type="dxa"/>
            <w:tcBorders>
              <w:top w:val="single" w:color="auto" w:sz="4" w:space="0"/>
              <w:left w:val="nil"/>
              <w:bottom w:val="single" w:color="auto" w:sz="4" w:space="0"/>
              <w:right w:val="single" w:color="auto" w:sz="4" w:space="0"/>
            </w:tcBorders>
            <w:shd w:val="clear" w:color="auto" w:fill="auto"/>
            <w:vAlign w:val="center"/>
          </w:tcPr>
          <w:p w14:paraId="30544D7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p>
        </w:tc>
        <w:tc>
          <w:tcPr>
            <w:tcW w:w="828" w:type="dxa"/>
            <w:tcBorders>
              <w:top w:val="single" w:color="auto" w:sz="4" w:space="0"/>
              <w:left w:val="nil"/>
              <w:bottom w:val="single" w:color="auto" w:sz="4" w:space="0"/>
              <w:right w:val="single" w:color="auto" w:sz="4" w:space="0"/>
            </w:tcBorders>
            <w:shd w:val="clear" w:color="auto" w:fill="auto"/>
            <w:vAlign w:val="center"/>
          </w:tcPr>
          <w:p w14:paraId="4E41F11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p>
        </w:tc>
        <w:tc>
          <w:tcPr>
            <w:tcW w:w="1018" w:type="dxa"/>
            <w:tcBorders>
              <w:top w:val="single" w:color="auto" w:sz="4" w:space="0"/>
              <w:left w:val="nil"/>
              <w:bottom w:val="single" w:color="auto" w:sz="4" w:space="0"/>
              <w:right w:val="single" w:color="auto" w:sz="4" w:space="0"/>
            </w:tcBorders>
            <w:vAlign w:val="center"/>
          </w:tcPr>
          <w:p w14:paraId="6A9E645C">
            <w:pPr>
              <w:pageBreakBefore w:val="0"/>
              <w:kinsoku/>
              <w:wordWrap/>
              <w:overflowPunct/>
              <w:topLinePunct w:val="0"/>
              <w:autoSpaceDE/>
              <w:autoSpaceDN/>
              <w:bidi w:val="0"/>
              <w:adjustRightInd w:val="0"/>
              <w:snapToGrid w:val="0"/>
              <w:spacing w:beforeAutospacing="0" w:afterAutospacing="0" w:line="240" w:lineRule="auto"/>
              <w:jc w:val="center"/>
              <w:rPr>
                <w:rFonts w:eastAsia="微软雅黑 Light" w:cs="Times New Roman"/>
                <w:color w:val="auto"/>
                <w:spacing w:val="6"/>
              </w:rPr>
            </w:pPr>
          </w:p>
        </w:tc>
      </w:tr>
      <w:tr w14:paraId="491FE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24779F8B">
            <w:pPr>
              <w:pageBreakBefore w:val="0"/>
              <w:kinsoku/>
              <w:wordWrap/>
              <w:overflowPunct/>
              <w:topLinePunct w:val="0"/>
              <w:autoSpaceDE/>
              <w:autoSpaceDN/>
              <w:bidi w:val="0"/>
              <w:adjustRightInd w:val="0"/>
              <w:snapToGrid w:val="0"/>
              <w:spacing w:beforeAutospacing="0" w:afterAutospacing="0" w:line="240" w:lineRule="auto"/>
              <w:jc w:val="center"/>
              <w:rPr>
                <w:rFonts w:hint="eastAsia" w:eastAsia="微软雅黑 Light" w:cs="Times New Roman"/>
                <w:color w:val="auto"/>
                <w:spacing w:val="6"/>
                <w:lang w:eastAsia="zh-CN"/>
              </w:rPr>
            </w:pPr>
            <w:r>
              <w:rPr>
                <w:rFonts w:hint="eastAsia" w:eastAsia="微软雅黑 Light"/>
                <w:color w:val="auto"/>
                <w:spacing w:val="6"/>
                <w:lang w:val="en-US" w:eastAsia="zh-CN"/>
              </w:rPr>
              <w:t>2</w:t>
            </w:r>
          </w:p>
        </w:tc>
        <w:tc>
          <w:tcPr>
            <w:tcW w:w="1557" w:type="dxa"/>
            <w:tcBorders>
              <w:top w:val="single" w:color="auto" w:sz="4" w:space="0"/>
              <w:left w:val="nil"/>
              <w:bottom w:val="single" w:color="auto" w:sz="4" w:space="0"/>
              <w:right w:val="single" w:color="auto" w:sz="4" w:space="0"/>
            </w:tcBorders>
            <w:vAlign w:val="center"/>
          </w:tcPr>
          <w:p w14:paraId="22A2EA6C">
            <w:pPr>
              <w:pageBreakBefore w:val="0"/>
              <w:kinsoku/>
              <w:wordWrap/>
              <w:overflowPunct/>
              <w:topLinePunct w:val="0"/>
              <w:autoSpaceDE/>
              <w:autoSpaceDN/>
              <w:bidi w:val="0"/>
              <w:adjustRightInd w:val="0"/>
              <w:snapToGrid w:val="0"/>
              <w:spacing w:beforeAutospacing="0" w:afterAutospacing="0" w:line="240" w:lineRule="auto"/>
              <w:ind w:leftChars="-54" w:right="-107" w:rightChars="-51" w:hanging="113" w:hangingChars="51"/>
              <w:jc w:val="center"/>
              <w:rPr>
                <w:rFonts w:eastAsia="微软雅黑 Light" w:cs="Times New Roman"/>
                <w:color w:val="auto"/>
                <w:spacing w:val="6"/>
              </w:rPr>
            </w:pPr>
            <w:r>
              <w:rPr>
                <w:rFonts w:hint="eastAsia" w:eastAsia="微软雅黑 Light"/>
                <w:color w:val="auto"/>
                <w:spacing w:val="6"/>
              </w:rPr>
              <w:t>4G</w:t>
            </w:r>
            <w:r>
              <w:rPr>
                <w:rFonts w:hint="eastAsia" w:ascii="微软雅黑 Light" w:hAnsi="微软雅黑 Light" w:eastAsia="微软雅黑 Light" w:cs="Times New Roman"/>
                <w:color w:val="auto"/>
                <w:spacing w:val="6"/>
              </w:rPr>
              <w:t>三相远程电能表</w:t>
            </w:r>
          </w:p>
        </w:tc>
        <w:tc>
          <w:tcPr>
            <w:tcW w:w="7677" w:type="dxa"/>
            <w:tcBorders>
              <w:top w:val="single" w:color="auto" w:sz="4" w:space="0"/>
              <w:left w:val="nil"/>
              <w:bottom w:val="single" w:color="auto" w:sz="4" w:space="0"/>
              <w:right w:val="single" w:color="auto" w:sz="4" w:space="0"/>
            </w:tcBorders>
            <w:vAlign w:val="center"/>
          </w:tcPr>
          <w:p w14:paraId="669A17C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1、支持多协议通信，通过数据线连插座RS485通信接口或/4G/LORA/BT与上位机进行通信，可通过DL/T 645-2007、Q/GDW 1376.1-2013、MODBUS、MQTT等协议采集插座数据和下发指令参数</w:t>
            </w:r>
          </w:p>
          <w:p w14:paraId="186CE376">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2、具有参数监测功能，模块正常上电后接上负载，上位机通过网络连接插座，通过标准DL/T 645、MODBUS、MQTT等协议可读取模块电流、电压、功率因素、有功、无功及复费率等及其他设定的定时控制等管理参数</w:t>
            </w:r>
          </w:p>
          <w:p w14:paraId="31C7AD1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3、具有远程控制功能，模块正常上电后接上负载，上位机通过网络连接模块，可通过后台软件实现智控模块的远程拉合闸，进行策略控制</w:t>
            </w:r>
          </w:p>
          <w:p w14:paraId="18BB2B0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具有综合参数读取功能，模块与上位机软件连接，上位机可设定过载断电、定时关电、负载识别等各种管理参数下发并保存到插座后，通过综合参数读取按钮可读取当前插座的多有功能参数和继电器状态等各种功能状态</w:t>
            </w:r>
          </w:p>
          <w:p w14:paraId="43E185C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5、具有过载断电功能，当在后台软件设置过载功率为1A，当负载功率大于1A时，模块自动拉闸断电；可设定6个以上时间段不同过载功率</w:t>
            </w:r>
          </w:p>
          <w:p w14:paraId="685E482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6、具有负载识别功能，后台软件设置过载功为1000W，插上500W热得快时，模块自动断电，实现恶性负载有效识别；可学习建立热得快、电吹风等常用电器特征库，通过容许和禁用某类负载实现有效识别和安全管理</w:t>
            </w:r>
          </w:p>
          <w:p w14:paraId="5F9B6A16">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7、具有空调识别功能，插座接入空调负载时可以正常使用，当接入其他负载时立即断电</w:t>
            </w:r>
          </w:p>
          <w:p w14:paraId="74D504B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8、具有温度检测功能，可测量安装空间温度，可设定检测或采集到某个温度值时发出红外开启或关闭指令，也可执行拉合闸指令</w:t>
            </w:r>
          </w:p>
          <w:p w14:paraId="601B4EF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9、具有温度锁定功能，可根据环境或使用需要设定并锁定温度阈值，防止并修正违规修改阈值</w:t>
            </w:r>
          </w:p>
          <w:p w14:paraId="588E53A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支持多种费率，控制模块具有尖峰谷平四个费率时段，可扩展设定更多费率时段</w:t>
            </w:r>
          </w:p>
          <w:p w14:paraId="192184A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10、具有掉电存储功能，上位机发送策略控制参数给模块成功后，断开模块电源，重新上电后读取模块综合读数，发送的策略控制参数无丢失电存储</w:t>
            </w:r>
          </w:p>
          <w:p w14:paraId="773CEB3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11、具有联动功能，新增水机的能耗统计以及水机的集控功能，对接原有空调控制系统，与风冷机联动。</w:t>
            </w:r>
          </w:p>
          <w:p w14:paraId="1FC6058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12、支持可视化方式对设备信息进行总览，包括空调安装位置、空调运行状态、空调风扇、空调模式、空调温度、空调湿度等</w:t>
            </w:r>
          </w:p>
          <w:p w14:paraId="02936A1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具有异常告警功能，当设备出现温度过高、电流电压过高过低、电量过低等异常情况时，设备自动产生告警并上报到后台并推送告警信息至管理员手机，管理员可以在系统查看到该告警记录，根据上报的告警信息进行处理</w:t>
            </w:r>
          </w:p>
          <w:p w14:paraId="56A4CC9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14、支持生成报表，自动统计形成节电分析以及能源统计报表，可以通过日、周、月、年、自定义时段、每个区域、每栋楼、每个房间等多种维度快速查询空调耗能数据，可对报表进行导出、打印等</w:t>
            </w:r>
          </w:p>
          <w:p w14:paraId="6DBD09D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15、具有定时控制功能，系统可设置通、断电时间，并进行拉合闸控制</w:t>
            </w:r>
          </w:p>
          <w:p w14:paraId="79330F9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16、具有遥控功能，内容如下：</w:t>
            </w:r>
          </w:p>
          <w:p w14:paraId="34F4AD3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a）具有定时遥控功能，系统可设置定时红外遥控开启、关闭，并自动执行；</w:t>
            </w:r>
          </w:p>
          <w:p w14:paraId="642A9C5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b）具有红外遥控功能，接受上位机的开启、关闭，运行模式等数据后可通过红外与对应的空调通讯，实现空调的运行控制和参数设定</w:t>
            </w:r>
          </w:p>
          <w:p w14:paraId="1532549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17、具有负荷控制功能，可对分路电流在（0～16）A范围没进行设置；当分路电流超过设置的最大电流的时间超过设定值时，应自动切断该分路电源</w:t>
            </w:r>
          </w:p>
          <w:p w14:paraId="0E5DE522">
            <w:pPr>
              <w:pageBreakBefore w:val="0"/>
              <w:kinsoku/>
              <w:wordWrap/>
              <w:overflowPunct/>
              <w:topLinePunct w:val="0"/>
              <w:autoSpaceDE/>
              <w:autoSpaceDN/>
              <w:bidi w:val="0"/>
              <w:adjustRightInd w:val="0"/>
              <w:snapToGrid w:val="0"/>
              <w:spacing w:beforeAutospacing="0" w:afterAutospacing="0" w:line="240" w:lineRule="auto"/>
              <w:jc w:val="center"/>
              <w:rPr>
                <w:rFonts w:hint="eastAsia" w:eastAsia="宋体" w:cs="Times New Roman"/>
                <w:color w:val="auto"/>
                <w:lang w:val="en-US" w:eastAsia="zh-CN"/>
              </w:rPr>
            </w:pPr>
            <w:r>
              <w:rPr>
                <w:rFonts w:hint="eastAsia" w:ascii="宋体" w:hAnsi="宋体" w:eastAsia="宋体" w:cs="宋体"/>
                <w:color w:val="auto"/>
                <w:sz w:val="21"/>
                <w:szCs w:val="21"/>
              </w:rPr>
              <w:t>18、具有数据保持功能，当电流瞬时或断电时，应保持数据不丢失；恢复供电后，保存的数据不丢失。系统应正常工作</w:t>
            </w:r>
          </w:p>
        </w:tc>
        <w:tc>
          <w:tcPr>
            <w:tcW w:w="691" w:type="dxa"/>
            <w:tcBorders>
              <w:top w:val="single" w:color="auto" w:sz="4" w:space="0"/>
              <w:left w:val="nil"/>
              <w:bottom w:val="single" w:color="auto" w:sz="4" w:space="0"/>
              <w:right w:val="single" w:color="auto" w:sz="4" w:space="0"/>
            </w:tcBorders>
            <w:vAlign w:val="center"/>
          </w:tcPr>
          <w:p w14:paraId="5C4792CD">
            <w:pPr>
              <w:pageBreakBefore w:val="0"/>
              <w:kinsoku/>
              <w:wordWrap/>
              <w:overflowPunct/>
              <w:topLinePunct w:val="0"/>
              <w:autoSpaceDE/>
              <w:autoSpaceDN/>
              <w:bidi w:val="0"/>
              <w:adjustRightInd w:val="0"/>
              <w:snapToGrid w:val="0"/>
              <w:spacing w:beforeAutospacing="0" w:afterAutospacing="0" w:line="240" w:lineRule="auto"/>
              <w:jc w:val="center"/>
              <w:rPr>
                <w:rFonts w:eastAsia="微软雅黑 Light" w:cs="Times New Roman"/>
                <w:color w:val="auto"/>
                <w:spacing w:val="6"/>
              </w:rPr>
            </w:pPr>
            <w:r>
              <w:rPr>
                <w:rFonts w:hint="eastAsia" w:ascii="微软雅黑 Light" w:hAnsi="微软雅黑 Light" w:eastAsia="微软雅黑 Light" w:cs="Times New Roman"/>
                <w:color w:val="auto"/>
                <w:spacing w:val="6"/>
              </w:rPr>
              <w:t>只</w:t>
            </w:r>
          </w:p>
        </w:tc>
        <w:tc>
          <w:tcPr>
            <w:tcW w:w="665" w:type="dxa"/>
            <w:tcBorders>
              <w:top w:val="single" w:color="auto" w:sz="4" w:space="0"/>
              <w:left w:val="nil"/>
              <w:bottom w:val="single" w:color="auto" w:sz="4" w:space="0"/>
              <w:right w:val="single" w:color="auto" w:sz="4" w:space="0"/>
            </w:tcBorders>
            <w:vAlign w:val="center"/>
          </w:tcPr>
          <w:p w14:paraId="713C6DBE">
            <w:pPr>
              <w:pageBreakBefore w:val="0"/>
              <w:kinsoku/>
              <w:wordWrap/>
              <w:overflowPunct/>
              <w:topLinePunct w:val="0"/>
              <w:autoSpaceDE/>
              <w:autoSpaceDN/>
              <w:bidi w:val="0"/>
              <w:adjustRightInd w:val="0"/>
              <w:snapToGrid w:val="0"/>
              <w:spacing w:beforeAutospacing="0" w:afterAutospacing="0" w:line="240" w:lineRule="auto"/>
              <w:jc w:val="center"/>
              <w:rPr>
                <w:rFonts w:hint="default" w:eastAsia="微软雅黑 Light" w:cs="Times New Roman"/>
                <w:color w:val="auto"/>
                <w:spacing w:val="6"/>
                <w:lang w:val="en-US" w:eastAsia="zh-CN"/>
              </w:rPr>
            </w:pPr>
            <w:r>
              <w:rPr>
                <w:rFonts w:hint="eastAsia" w:eastAsia="微软雅黑 Light"/>
                <w:color w:val="auto"/>
                <w:spacing w:val="6"/>
              </w:rPr>
              <w:t>105</w:t>
            </w:r>
          </w:p>
        </w:tc>
        <w:tc>
          <w:tcPr>
            <w:tcW w:w="889" w:type="dxa"/>
            <w:tcBorders>
              <w:top w:val="single" w:color="auto" w:sz="4" w:space="0"/>
              <w:left w:val="nil"/>
              <w:bottom w:val="single" w:color="auto" w:sz="4" w:space="0"/>
              <w:right w:val="single" w:color="auto" w:sz="4" w:space="0"/>
            </w:tcBorders>
            <w:vAlign w:val="center"/>
          </w:tcPr>
          <w:p w14:paraId="36C0A27A">
            <w:pPr>
              <w:pageBreakBefore w:val="0"/>
              <w:kinsoku/>
              <w:wordWrap/>
              <w:overflowPunct/>
              <w:topLinePunct w:val="0"/>
              <w:autoSpaceDE/>
              <w:autoSpaceDN/>
              <w:bidi w:val="0"/>
              <w:adjustRightInd w:val="0"/>
              <w:snapToGrid w:val="0"/>
              <w:spacing w:beforeAutospacing="0" w:afterAutospacing="0" w:line="240" w:lineRule="auto"/>
              <w:jc w:val="center"/>
              <w:rPr>
                <w:rFonts w:hint="default" w:eastAsia="微软雅黑 Light" w:cs="Times New Roman"/>
                <w:color w:val="auto"/>
                <w:spacing w:val="6"/>
                <w:lang w:val="en-US" w:eastAsia="zh-CN"/>
              </w:rPr>
            </w:pPr>
          </w:p>
        </w:tc>
        <w:tc>
          <w:tcPr>
            <w:tcW w:w="828" w:type="dxa"/>
            <w:tcBorders>
              <w:top w:val="single" w:color="auto" w:sz="4" w:space="0"/>
              <w:left w:val="nil"/>
              <w:bottom w:val="single" w:color="auto" w:sz="4" w:space="0"/>
              <w:right w:val="single" w:color="auto" w:sz="4" w:space="0"/>
            </w:tcBorders>
            <w:vAlign w:val="center"/>
          </w:tcPr>
          <w:p w14:paraId="116901CE">
            <w:pPr>
              <w:pageBreakBefore w:val="0"/>
              <w:kinsoku/>
              <w:wordWrap/>
              <w:overflowPunct/>
              <w:topLinePunct w:val="0"/>
              <w:autoSpaceDE/>
              <w:autoSpaceDN/>
              <w:bidi w:val="0"/>
              <w:adjustRightInd w:val="0"/>
              <w:snapToGrid w:val="0"/>
              <w:spacing w:beforeAutospacing="0" w:afterAutospacing="0" w:line="240" w:lineRule="auto"/>
              <w:jc w:val="center"/>
              <w:rPr>
                <w:rFonts w:hint="default" w:eastAsia="微软雅黑 Light" w:cs="Times New Roman"/>
                <w:color w:val="auto"/>
                <w:spacing w:val="6"/>
                <w:lang w:val="en-US" w:eastAsia="zh-CN"/>
              </w:rPr>
            </w:pPr>
          </w:p>
        </w:tc>
        <w:tc>
          <w:tcPr>
            <w:tcW w:w="1018" w:type="dxa"/>
            <w:tcBorders>
              <w:top w:val="single" w:color="auto" w:sz="4" w:space="0"/>
              <w:left w:val="nil"/>
              <w:bottom w:val="single" w:color="auto" w:sz="4" w:space="0"/>
              <w:right w:val="single" w:color="auto" w:sz="4" w:space="0"/>
            </w:tcBorders>
            <w:vAlign w:val="center"/>
          </w:tcPr>
          <w:p w14:paraId="20CB8CA6">
            <w:pPr>
              <w:pageBreakBefore w:val="0"/>
              <w:kinsoku/>
              <w:wordWrap/>
              <w:overflowPunct/>
              <w:topLinePunct w:val="0"/>
              <w:autoSpaceDE/>
              <w:autoSpaceDN/>
              <w:bidi w:val="0"/>
              <w:adjustRightInd w:val="0"/>
              <w:snapToGrid w:val="0"/>
              <w:spacing w:beforeAutospacing="0" w:afterAutospacing="0" w:line="240" w:lineRule="auto"/>
              <w:jc w:val="center"/>
              <w:rPr>
                <w:rFonts w:eastAsia="微软雅黑 Light" w:cs="Times New Roman"/>
                <w:color w:val="auto"/>
                <w:spacing w:val="6"/>
              </w:rPr>
            </w:pPr>
          </w:p>
        </w:tc>
      </w:tr>
      <w:tr w14:paraId="6F91E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5BF3057B">
            <w:pPr>
              <w:pageBreakBefore w:val="0"/>
              <w:kinsoku/>
              <w:wordWrap/>
              <w:overflowPunct/>
              <w:topLinePunct w:val="0"/>
              <w:autoSpaceDE/>
              <w:autoSpaceDN/>
              <w:bidi w:val="0"/>
              <w:adjustRightInd w:val="0"/>
              <w:snapToGrid w:val="0"/>
              <w:spacing w:beforeAutospacing="0" w:afterAutospacing="0" w:line="240" w:lineRule="auto"/>
              <w:jc w:val="center"/>
              <w:rPr>
                <w:rFonts w:hint="eastAsia" w:eastAsia="微软雅黑 Light"/>
                <w:color w:val="auto"/>
                <w:spacing w:val="6"/>
                <w:lang w:val="en-US" w:eastAsia="zh-CN"/>
              </w:rPr>
            </w:pPr>
            <w:r>
              <w:rPr>
                <w:rFonts w:hint="eastAsia" w:eastAsia="微软雅黑 Light"/>
                <w:color w:val="auto"/>
                <w:spacing w:val="6"/>
                <w:lang w:val="en-US" w:eastAsia="zh-CN"/>
              </w:rPr>
              <w:t>3</w:t>
            </w:r>
          </w:p>
        </w:tc>
        <w:tc>
          <w:tcPr>
            <w:tcW w:w="1557" w:type="dxa"/>
            <w:tcBorders>
              <w:top w:val="single" w:color="auto" w:sz="4" w:space="0"/>
              <w:left w:val="nil"/>
              <w:bottom w:val="single" w:color="auto" w:sz="4" w:space="0"/>
              <w:right w:val="single" w:color="auto" w:sz="4" w:space="0"/>
            </w:tcBorders>
            <w:vAlign w:val="center"/>
          </w:tcPr>
          <w:p w14:paraId="6E95F631">
            <w:pPr>
              <w:pageBreakBefore w:val="0"/>
              <w:kinsoku/>
              <w:wordWrap/>
              <w:overflowPunct/>
              <w:topLinePunct w:val="0"/>
              <w:autoSpaceDE/>
              <w:autoSpaceDN/>
              <w:bidi w:val="0"/>
              <w:adjustRightInd w:val="0"/>
              <w:snapToGrid w:val="0"/>
              <w:spacing w:beforeAutospacing="0" w:afterAutospacing="0" w:line="240" w:lineRule="auto"/>
              <w:ind w:leftChars="-54" w:right="-107" w:rightChars="-51" w:hanging="113" w:hangingChars="51"/>
              <w:jc w:val="center"/>
              <w:rPr>
                <w:rFonts w:hint="eastAsia" w:ascii="微软雅黑 Light" w:hAnsi="微软雅黑 Light" w:eastAsia="微软雅黑 Light" w:cs="Times New Roman"/>
                <w:color w:val="auto"/>
                <w:spacing w:val="6"/>
              </w:rPr>
            </w:pPr>
            <w:r>
              <w:rPr>
                <w:rFonts w:hint="eastAsia" w:ascii="微软雅黑 Light" w:hAnsi="微软雅黑 Light" w:eastAsia="微软雅黑 Light" w:cs="Times New Roman"/>
                <w:color w:val="auto"/>
                <w:spacing w:val="6"/>
                <w:lang w:val="en-US" w:eastAsia="zh-CN"/>
              </w:rPr>
              <w:t>单</w:t>
            </w:r>
            <w:r>
              <w:rPr>
                <w:rFonts w:hint="eastAsia" w:ascii="微软雅黑 Light" w:hAnsi="微软雅黑 Light" w:eastAsia="微软雅黑 Light" w:cs="Times New Roman"/>
                <w:color w:val="auto"/>
                <w:spacing w:val="6"/>
              </w:rPr>
              <w:t>相远程电能表</w:t>
            </w:r>
          </w:p>
        </w:tc>
        <w:tc>
          <w:tcPr>
            <w:tcW w:w="7677" w:type="dxa"/>
            <w:tcBorders>
              <w:top w:val="single" w:color="auto" w:sz="4" w:space="0"/>
              <w:left w:val="nil"/>
              <w:bottom w:val="single" w:color="auto" w:sz="4" w:space="0"/>
              <w:right w:val="single" w:color="auto" w:sz="4" w:space="0"/>
            </w:tcBorders>
            <w:vAlign w:val="center"/>
          </w:tcPr>
          <w:p w14:paraId="037DF5AF">
            <w:pPr>
              <w:pageBreakBefore w:val="0"/>
              <w:kinsoku/>
              <w:wordWrap/>
              <w:overflowPunct/>
              <w:topLinePunct w:val="0"/>
              <w:autoSpaceDE/>
              <w:autoSpaceDN/>
              <w:bidi w:val="0"/>
              <w:adjustRightInd w:val="0"/>
              <w:snapToGrid w:val="0"/>
              <w:spacing w:beforeAutospacing="0" w:afterAutospacing="0" w:line="240" w:lineRule="auto"/>
              <w:jc w:val="left"/>
              <w:rPr>
                <w:rFonts w:eastAsia="宋体" w:cs="Times New Roman"/>
                <w:color w:val="auto"/>
              </w:rPr>
            </w:pPr>
            <w:r>
              <w:rPr>
                <w:rFonts w:hint="eastAsia"/>
                <w:color w:val="auto"/>
              </w:rPr>
              <w:t>1</w:t>
            </w:r>
            <w:r>
              <w:rPr>
                <w:rFonts w:hint="eastAsia" w:ascii="宋体" w:hAnsi="宋体" w:cs="Times New Roman"/>
                <w:color w:val="auto"/>
              </w:rPr>
              <w:t xml:space="preserve">、型号规格： </w:t>
            </w:r>
            <w:r>
              <w:rPr>
                <w:rFonts w:hint="eastAsia"/>
                <w:color w:val="auto"/>
              </w:rPr>
              <w:t>3</w:t>
            </w:r>
            <w:r>
              <w:rPr>
                <w:rFonts w:hint="eastAsia" w:ascii="宋体" w:hAnsi="宋体" w:cs="Times New Roman"/>
                <w:color w:val="auto"/>
              </w:rPr>
              <w:t>×</w:t>
            </w:r>
            <w:r>
              <w:rPr>
                <w:rFonts w:hint="eastAsia"/>
                <w:color w:val="auto"/>
              </w:rPr>
              <w:t xml:space="preserve">220/380V </w:t>
            </w:r>
            <w:r>
              <w:rPr>
                <w:color w:val="auto"/>
              </w:rPr>
              <w:t xml:space="preserve"> </w:t>
            </w:r>
            <w:r>
              <w:rPr>
                <w:rFonts w:hint="eastAsia"/>
                <w:color w:val="auto"/>
              </w:rPr>
              <w:t>0.015-0.075(6)A</w:t>
            </w:r>
            <w:r>
              <w:rPr>
                <w:rFonts w:hint="eastAsia" w:ascii="宋体" w:hAnsi="宋体" w:cs="Times New Roman"/>
                <w:color w:val="auto"/>
              </w:rPr>
              <w:t>、</w:t>
            </w:r>
            <w:r>
              <w:rPr>
                <w:rFonts w:hint="eastAsia"/>
                <w:color w:val="auto"/>
              </w:rPr>
              <w:t>0.05-0.25(60)A</w:t>
            </w:r>
            <w:r>
              <w:rPr>
                <w:rFonts w:hint="eastAsia" w:ascii="宋体" w:hAnsi="宋体" w:cs="Times New Roman"/>
                <w:color w:val="auto"/>
              </w:rPr>
              <w:t>、</w:t>
            </w:r>
            <w:r>
              <w:rPr>
                <w:rFonts w:hint="eastAsia"/>
                <w:color w:val="auto"/>
              </w:rPr>
              <w:t>0.1-0.5(100)A</w:t>
            </w:r>
          </w:p>
          <w:p w14:paraId="319C2907">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2</w:t>
            </w:r>
            <w:r>
              <w:rPr>
                <w:rFonts w:hint="eastAsia" w:ascii="宋体" w:hAnsi="宋体" w:cs="Times New Roman"/>
                <w:color w:val="auto"/>
              </w:rPr>
              <w:t>、准确度等级</w:t>
            </w:r>
            <w:r>
              <w:rPr>
                <w:rFonts w:hint="eastAsia"/>
                <w:color w:val="auto"/>
              </w:rPr>
              <w:t>/</w:t>
            </w:r>
            <w:r>
              <w:rPr>
                <w:rFonts w:hint="eastAsia" w:ascii="宋体" w:hAnsi="宋体" w:cs="Times New Roman"/>
                <w:color w:val="auto"/>
              </w:rPr>
              <w:t>最大允许误差：有功</w:t>
            </w:r>
            <w:r>
              <w:rPr>
                <w:rFonts w:hint="eastAsia"/>
                <w:color w:val="auto"/>
              </w:rPr>
              <w:t>C</w:t>
            </w:r>
            <w:r>
              <w:rPr>
                <w:rFonts w:hint="eastAsia" w:ascii="宋体" w:hAnsi="宋体" w:cs="Times New Roman"/>
                <w:color w:val="auto"/>
              </w:rPr>
              <w:t>级</w:t>
            </w:r>
          </w:p>
          <w:p w14:paraId="0D56DA95">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3</w:t>
            </w:r>
            <w:r>
              <w:rPr>
                <w:rFonts w:hint="eastAsia" w:ascii="宋体" w:hAnsi="宋体" w:cs="Times New Roman"/>
                <w:color w:val="auto"/>
              </w:rPr>
              <w:t>、电表符合</w:t>
            </w:r>
            <w:r>
              <w:rPr>
                <w:rFonts w:hint="eastAsia"/>
                <w:color w:val="auto"/>
              </w:rPr>
              <w:t>DL/T 1485-2015</w:t>
            </w:r>
            <w:r>
              <w:rPr>
                <w:rFonts w:hint="eastAsia" w:ascii="宋体" w:hAnsi="宋体" w:cs="Times New Roman"/>
                <w:color w:val="auto"/>
              </w:rPr>
              <w:t>《三相智能电能表技术规范》、</w:t>
            </w:r>
            <w:r>
              <w:rPr>
                <w:rFonts w:hint="eastAsia"/>
                <w:color w:val="auto"/>
              </w:rPr>
              <w:t>DL/T 1489-2015</w:t>
            </w:r>
            <w:r>
              <w:rPr>
                <w:rFonts w:hint="eastAsia" w:ascii="宋体" w:hAnsi="宋体" w:cs="Times New Roman"/>
                <w:color w:val="auto"/>
              </w:rPr>
              <w:t>《三相智能电能表型式规范》、</w:t>
            </w:r>
            <w:r>
              <w:rPr>
                <w:rFonts w:hint="eastAsia"/>
                <w:color w:val="auto"/>
              </w:rPr>
              <w:t>DL/T 1490-2015</w:t>
            </w:r>
            <w:r>
              <w:rPr>
                <w:rFonts w:hint="eastAsia" w:ascii="宋体" w:hAnsi="宋体" w:cs="Times New Roman"/>
                <w:color w:val="auto"/>
              </w:rPr>
              <w:t>《智能电能表功能规范》、</w:t>
            </w:r>
            <w:r>
              <w:rPr>
                <w:rFonts w:hint="eastAsia"/>
                <w:color w:val="auto"/>
              </w:rPr>
              <w:t>GB/T 17215.321-2021</w:t>
            </w:r>
            <w:r>
              <w:rPr>
                <w:rFonts w:hint="eastAsia" w:ascii="宋体" w:hAnsi="宋体" w:cs="Times New Roman"/>
                <w:color w:val="auto"/>
              </w:rPr>
              <w:t>《电测量设备</w:t>
            </w:r>
            <w:r>
              <w:rPr>
                <w:rFonts w:hint="eastAsia"/>
                <w:color w:val="auto"/>
              </w:rPr>
              <w:t>(</w:t>
            </w:r>
            <w:r>
              <w:rPr>
                <w:rFonts w:hint="eastAsia" w:ascii="宋体" w:hAnsi="宋体" w:cs="Times New Roman"/>
                <w:color w:val="auto"/>
              </w:rPr>
              <w:t>交流</w:t>
            </w:r>
            <w:r>
              <w:rPr>
                <w:rFonts w:hint="eastAsia"/>
                <w:color w:val="auto"/>
              </w:rPr>
              <w:t>)</w:t>
            </w:r>
            <w:r>
              <w:rPr>
                <w:rFonts w:hint="eastAsia" w:ascii="宋体" w:hAnsi="宋体" w:cs="Times New Roman"/>
                <w:color w:val="auto"/>
              </w:rPr>
              <w:t>特殊要求第</w:t>
            </w:r>
            <w:r>
              <w:rPr>
                <w:rFonts w:hint="eastAsia"/>
                <w:color w:val="auto"/>
              </w:rPr>
              <w:t>21</w:t>
            </w:r>
            <w:r>
              <w:rPr>
                <w:rFonts w:hint="eastAsia" w:ascii="宋体" w:hAnsi="宋体" w:cs="Times New Roman"/>
                <w:color w:val="auto"/>
              </w:rPr>
              <w:t>部分：静止式有功电能表</w:t>
            </w:r>
            <w:r>
              <w:rPr>
                <w:rFonts w:hint="eastAsia"/>
                <w:color w:val="auto"/>
              </w:rPr>
              <w:t xml:space="preserve">(A </w:t>
            </w:r>
            <w:r>
              <w:rPr>
                <w:rFonts w:hint="eastAsia" w:ascii="宋体" w:hAnsi="宋体" w:cs="Times New Roman"/>
                <w:color w:val="auto"/>
              </w:rPr>
              <w:t>级、</w:t>
            </w:r>
            <w:r>
              <w:rPr>
                <w:rFonts w:hint="eastAsia"/>
                <w:color w:val="auto"/>
              </w:rPr>
              <w:t>B</w:t>
            </w:r>
            <w:r>
              <w:rPr>
                <w:rFonts w:hint="eastAsia" w:ascii="宋体" w:hAnsi="宋体" w:cs="Times New Roman"/>
                <w:color w:val="auto"/>
              </w:rPr>
              <w:t>级、</w:t>
            </w:r>
            <w:r>
              <w:rPr>
                <w:rFonts w:hint="eastAsia"/>
                <w:color w:val="auto"/>
              </w:rPr>
              <w:t>C</w:t>
            </w:r>
            <w:r>
              <w:rPr>
                <w:rFonts w:hint="eastAsia" w:ascii="宋体" w:hAnsi="宋体" w:cs="Times New Roman"/>
                <w:color w:val="auto"/>
              </w:rPr>
              <w:t>级、</w:t>
            </w:r>
            <w:r>
              <w:rPr>
                <w:rFonts w:hint="eastAsia"/>
                <w:color w:val="auto"/>
              </w:rPr>
              <w:t>D</w:t>
            </w:r>
            <w:r>
              <w:rPr>
                <w:rFonts w:hint="eastAsia" w:ascii="宋体" w:hAnsi="宋体" w:cs="Times New Roman"/>
                <w:color w:val="auto"/>
              </w:rPr>
              <w:t>级和</w:t>
            </w:r>
            <w:r>
              <w:rPr>
                <w:rFonts w:hint="eastAsia"/>
                <w:color w:val="auto"/>
              </w:rPr>
              <w:t>E</w:t>
            </w:r>
            <w:r>
              <w:rPr>
                <w:rFonts w:hint="eastAsia" w:ascii="宋体" w:hAnsi="宋体" w:cs="Times New Roman"/>
                <w:color w:val="auto"/>
              </w:rPr>
              <w:t>级</w:t>
            </w:r>
            <w:r>
              <w:rPr>
                <w:rFonts w:hint="eastAsia"/>
                <w:color w:val="auto"/>
              </w:rPr>
              <w:t>)</w:t>
            </w:r>
            <w:r>
              <w:rPr>
                <w:rFonts w:hint="eastAsia" w:ascii="宋体" w:hAnsi="宋体" w:cs="Times New Roman"/>
                <w:color w:val="auto"/>
              </w:rPr>
              <w:t>》，</w:t>
            </w:r>
            <w:r>
              <w:rPr>
                <w:rFonts w:hint="eastAsia"/>
                <w:color w:val="auto"/>
              </w:rPr>
              <w:t>GB/T 17215.211-2021</w:t>
            </w:r>
            <w:r>
              <w:rPr>
                <w:rFonts w:hint="eastAsia" w:ascii="宋体" w:hAnsi="宋体" w:cs="Times New Roman"/>
                <w:color w:val="auto"/>
              </w:rPr>
              <w:t>《电测量设备</w:t>
            </w:r>
            <w:r>
              <w:rPr>
                <w:rFonts w:hint="eastAsia"/>
                <w:color w:val="auto"/>
              </w:rPr>
              <w:t>(</w:t>
            </w:r>
            <w:r>
              <w:rPr>
                <w:rFonts w:hint="eastAsia" w:ascii="宋体" w:hAnsi="宋体" w:cs="Times New Roman"/>
                <w:color w:val="auto"/>
              </w:rPr>
              <w:t>交流</w:t>
            </w:r>
            <w:r>
              <w:rPr>
                <w:rFonts w:hint="eastAsia"/>
                <w:color w:val="auto"/>
              </w:rPr>
              <w:t>)</w:t>
            </w:r>
            <w:r>
              <w:rPr>
                <w:rFonts w:hint="eastAsia" w:ascii="宋体" w:hAnsi="宋体" w:cs="Times New Roman"/>
                <w:color w:val="auto"/>
              </w:rPr>
              <w:t>通用要求、试验和试验条件第</w:t>
            </w:r>
            <w:r>
              <w:rPr>
                <w:rFonts w:hint="eastAsia"/>
                <w:color w:val="auto"/>
              </w:rPr>
              <w:t>11</w:t>
            </w:r>
            <w:r>
              <w:rPr>
                <w:rFonts w:hint="eastAsia" w:ascii="宋体" w:hAnsi="宋体" w:cs="Times New Roman"/>
                <w:color w:val="auto"/>
              </w:rPr>
              <w:t>部分：测量 设备》，</w:t>
            </w:r>
            <w:r>
              <w:rPr>
                <w:rFonts w:hint="eastAsia"/>
                <w:color w:val="auto"/>
              </w:rPr>
              <w:t>DL/T614-2007</w:t>
            </w:r>
            <w:r>
              <w:rPr>
                <w:rFonts w:hint="eastAsia" w:ascii="宋体" w:hAnsi="宋体" w:cs="Times New Roman"/>
                <w:color w:val="auto"/>
              </w:rPr>
              <w:t>《多功能电能表》，《三相四线费控智能电能表测试大纲》</w:t>
            </w:r>
          </w:p>
          <w:p w14:paraId="15A1FA20">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4</w:t>
            </w:r>
            <w:r>
              <w:rPr>
                <w:rFonts w:hint="eastAsia" w:ascii="宋体" w:hAnsi="宋体" w:cs="Times New Roman"/>
                <w:color w:val="auto"/>
              </w:rPr>
              <w:t>、电表在</w:t>
            </w:r>
            <w:r>
              <w:rPr>
                <w:rFonts w:hint="eastAsia"/>
                <w:color w:val="auto"/>
              </w:rPr>
              <w:t>70</w:t>
            </w:r>
            <w:r>
              <w:rPr>
                <w:rFonts w:hint="eastAsia" w:ascii="宋体" w:hAnsi="宋体" w:cs="Times New Roman"/>
                <w:color w:val="auto"/>
              </w:rPr>
              <w:t>℃的高温试验下，持续保持</w:t>
            </w:r>
            <w:r>
              <w:rPr>
                <w:rFonts w:hint="eastAsia"/>
                <w:color w:val="auto"/>
              </w:rPr>
              <w:t>2h</w:t>
            </w:r>
            <w:r>
              <w:rPr>
                <w:rFonts w:hint="eastAsia" w:ascii="宋体" w:hAnsi="宋体" w:cs="Times New Roman"/>
                <w:color w:val="auto"/>
              </w:rPr>
              <w:t>，电表能正常工作。</w:t>
            </w:r>
          </w:p>
          <w:p w14:paraId="771698A2">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5</w:t>
            </w:r>
            <w:r>
              <w:rPr>
                <w:rFonts w:hint="eastAsia" w:ascii="宋体" w:hAnsi="宋体" w:cs="Times New Roman"/>
                <w:color w:val="auto"/>
              </w:rPr>
              <w:t>、电表在</w:t>
            </w:r>
            <w:r>
              <w:rPr>
                <w:rFonts w:hint="eastAsia"/>
                <w:color w:val="auto"/>
              </w:rPr>
              <w:t>-40</w:t>
            </w:r>
            <w:r>
              <w:rPr>
                <w:rFonts w:hint="eastAsia" w:ascii="宋体" w:hAnsi="宋体" w:cs="Times New Roman"/>
                <w:color w:val="auto"/>
              </w:rPr>
              <w:t>℃的低温试验下，持续保持</w:t>
            </w:r>
            <w:r>
              <w:rPr>
                <w:rFonts w:hint="eastAsia"/>
                <w:color w:val="auto"/>
              </w:rPr>
              <w:t>2h</w:t>
            </w:r>
            <w:r>
              <w:rPr>
                <w:rFonts w:hint="eastAsia" w:ascii="宋体" w:hAnsi="宋体" w:cs="Times New Roman"/>
                <w:color w:val="auto"/>
              </w:rPr>
              <w:t>，电表能正常工作。电表有功功耗≤</w:t>
            </w:r>
            <w:r>
              <w:rPr>
                <w:rFonts w:hint="eastAsia"/>
                <w:color w:val="auto"/>
              </w:rPr>
              <w:t>0.25W</w:t>
            </w:r>
            <w:r>
              <w:rPr>
                <w:rFonts w:hint="eastAsia" w:ascii="宋体" w:hAnsi="宋体" w:cs="Times New Roman"/>
                <w:color w:val="auto"/>
              </w:rPr>
              <w:t>，视在功耗≤</w:t>
            </w:r>
            <w:r>
              <w:rPr>
                <w:rFonts w:hint="eastAsia"/>
                <w:color w:val="auto"/>
              </w:rPr>
              <w:t>1VA</w:t>
            </w:r>
          </w:p>
          <w:p w14:paraId="5B7E7E44">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6</w:t>
            </w:r>
            <w:r>
              <w:rPr>
                <w:rFonts w:hint="eastAsia" w:ascii="宋体" w:hAnsi="宋体" w:cs="Times New Roman"/>
                <w:color w:val="auto"/>
              </w:rPr>
              <w:t>、电表在参比温度下，仪表内部时钟准确度应优于±</w:t>
            </w:r>
            <w:r>
              <w:rPr>
                <w:rFonts w:hint="eastAsia"/>
                <w:color w:val="auto"/>
              </w:rPr>
              <w:t>0.5 s/24 h</w:t>
            </w:r>
            <w:r>
              <w:rPr>
                <w:rFonts w:hint="eastAsia" w:ascii="宋体" w:hAnsi="宋体" w:cs="Times New Roman"/>
                <w:color w:val="auto"/>
              </w:rPr>
              <w:t>。</w:t>
            </w:r>
          </w:p>
          <w:p w14:paraId="299A734C">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7</w:t>
            </w:r>
            <w:r>
              <w:rPr>
                <w:rFonts w:hint="eastAsia" w:ascii="宋体" w:hAnsi="宋体" w:cs="Times New Roman"/>
                <w:color w:val="auto"/>
              </w:rPr>
              <w:t>、电表在仪表额定温度范围内，内部时钟准确度应优于±</w:t>
            </w:r>
            <w:r>
              <w:rPr>
                <w:rFonts w:hint="eastAsia"/>
                <w:color w:val="auto"/>
              </w:rPr>
              <w:t>1 s/24 h</w:t>
            </w:r>
            <w:r>
              <w:rPr>
                <w:rFonts w:hint="eastAsia" w:ascii="宋体" w:hAnsi="宋体" w:cs="Times New Roman"/>
                <w:color w:val="auto"/>
              </w:rPr>
              <w:t>。</w:t>
            </w:r>
          </w:p>
          <w:p w14:paraId="55294895">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8</w:t>
            </w:r>
            <w:r>
              <w:rPr>
                <w:rFonts w:hint="eastAsia" w:ascii="宋体" w:hAnsi="宋体" w:cs="Times New Roman"/>
                <w:color w:val="auto"/>
              </w:rPr>
              <w:t>、电表安装尺寸为</w:t>
            </w:r>
            <w:r>
              <w:rPr>
                <w:rFonts w:hint="eastAsia"/>
                <w:color w:val="auto"/>
              </w:rPr>
              <w:t>290mm</w:t>
            </w:r>
            <w:r>
              <w:rPr>
                <w:rFonts w:hint="eastAsia" w:ascii="宋体" w:hAnsi="宋体" w:cs="Times New Roman"/>
                <w:color w:val="auto"/>
              </w:rPr>
              <w:t>±</w:t>
            </w:r>
            <w:r>
              <w:rPr>
                <w:rFonts w:hint="eastAsia"/>
                <w:color w:val="auto"/>
              </w:rPr>
              <w:t>1mm(</w:t>
            </w:r>
            <w:r>
              <w:rPr>
                <w:rFonts w:hint="eastAsia" w:ascii="宋体" w:hAnsi="宋体" w:cs="Times New Roman"/>
                <w:color w:val="auto"/>
              </w:rPr>
              <w:t>高</w:t>
            </w:r>
            <w:r>
              <w:rPr>
                <w:rFonts w:hint="eastAsia"/>
                <w:color w:val="auto"/>
              </w:rPr>
              <w:t>)</w:t>
            </w:r>
            <w:r>
              <w:rPr>
                <w:rFonts w:hint="eastAsia" w:ascii="宋体" w:hAnsi="宋体" w:cs="Times New Roman"/>
                <w:color w:val="auto"/>
              </w:rPr>
              <w:t>×</w:t>
            </w:r>
            <w:r>
              <w:rPr>
                <w:rFonts w:hint="eastAsia"/>
                <w:color w:val="auto"/>
              </w:rPr>
              <w:t>170mm</w:t>
            </w:r>
            <w:r>
              <w:rPr>
                <w:rFonts w:hint="eastAsia" w:ascii="宋体" w:hAnsi="宋体" w:cs="Times New Roman"/>
                <w:color w:val="auto"/>
              </w:rPr>
              <w:t xml:space="preserve">± </w:t>
            </w:r>
            <w:r>
              <w:rPr>
                <w:rFonts w:hint="eastAsia"/>
                <w:color w:val="auto"/>
              </w:rPr>
              <w:t>1mm(</w:t>
            </w:r>
            <w:r>
              <w:rPr>
                <w:rFonts w:hint="eastAsia" w:ascii="宋体" w:hAnsi="宋体" w:cs="Times New Roman"/>
                <w:color w:val="auto"/>
              </w:rPr>
              <w:t>宽</w:t>
            </w:r>
            <w:r>
              <w:rPr>
                <w:rFonts w:hint="eastAsia"/>
                <w:color w:val="auto"/>
              </w:rPr>
              <w:t>)</w:t>
            </w:r>
            <w:r>
              <w:rPr>
                <w:rFonts w:hint="eastAsia" w:ascii="宋体" w:hAnsi="宋体" w:cs="Times New Roman"/>
                <w:color w:val="auto"/>
              </w:rPr>
              <w:t>×</w:t>
            </w:r>
            <w:r>
              <w:rPr>
                <w:rFonts w:hint="eastAsia"/>
                <w:color w:val="auto"/>
              </w:rPr>
              <w:t>85mm</w:t>
            </w:r>
            <w:r>
              <w:rPr>
                <w:rFonts w:hint="eastAsia" w:ascii="宋体" w:hAnsi="宋体" w:cs="Times New Roman"/>
                <w:color w:val="auto"/>
              </w:rPr>
              <w:t>±</w:t>
            </w:r>
            <w:r>
              <w:rPr>
                <w:rFonts w:hint="eastAsia"/>
                <w:color w:val="auto"/>
              </w:rPr>
              <w:t>1mm(</w:t>
            </w:r>
            <w:r>
              <w:rPr>
                <w:rFonts w:hint="eastAsia" w:ascii="宋体" w:hAnsi="宋体" w:cs="Times New Roman"/>
                <w:color w:val="auto"/>
              </w:rPr>
              <w:t>厚</w:t>
            </w:r>
            <w:r>
              <w:rPr>
                <w:rFonts w:hint="eastAsia"/>
                <w:color w:val="auto"/>
              </w:rPr>
              <w:t>)</w:t>
            </w:r>
          </w:p>
          <w:p w14:paraId="1D735BA2">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9</w:t>
            </w:r>
            <w:r>
              <w:rPr>
                <w:rFonts w:hint="eastAsia" w:ascii="宋体" w:hAnsi="宋体" w:cs="Times New Roman"/>
                <w:color w:val="auto"/>
              </w:rPr>
              <w:t xml:space="preserve">、电表可计量总及各费率的正向、反向、 组合有功的电量，有功组合方式可 </w:t>
            </w:r>
            <w:r>
              <w:rPr>
                <w:color w:val="auto"/>
              </w:rPr>
              <w:t xml:space="preserve"> </w:t>
            </w:r>
            <w:r>
              <w:rPr>
                <w:rFonts w:hint="eastAsia" w:ascii="宋体" w:hAnsi="宋体" w:cs="Times New Roman"/>
                <w:color w:val="auto"/>
              </w:rPr>
              <w:t>设 置 ；</w:t>
            </w:r>
          </w:p>
          <w:p w14:paraId="02F25D08">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ascii="宋体" w:hAnsi="宋体" w:cs="Times New Roman"/>
                <w:color w:val="auto"/>
              </w:rPr>
              <w:t>电表可计量总及各费率的四象限无功和</w:t>
            </w:r>
            <w:r>
              <w:rPr>
                <w:rFonts w:hint="eastAsia" w:cs="Times New Roman"/>
                <w:color w:val="auto"/>
              </w:rPr>
              <w:t xml:space="preserve"> </w:t>
            </w:r>
            <w:r>
              <w:rPr>
                <w:color w:val="auto"/>
              </w:rPr>
              <w:t xml:space="preserve"> </w:t>
            </w:r>
            <w:r>
              <w:rPr>
                <w:rFonts w:hint="eastAsia" w:ascii="宋体" w:hAnsi="宋体" w:cs="Times New Roman"/>
                <w:color w:val="auto"/>
              </w:rPr>
              <w:t>组合无功</w:t>
            </w:r>
            <w:r>
              <w:rPr>
                <w:rFonts w:hint="eastAsia"/>
                <w:color w:val="auto"/>
              </w:rPr>
              <w:t>I/II</w:t>
            </w:r>
            <w:r>
              <w:rPr>
                <w:rFonts w:hint="eastAsia" w:ascii="宋体" w:hAnsi="宋体" w:cs="Times New Roman"/>
                <w:color w:val="auto"/>
              </w:rPr>
              <w:t>的电量，组合无功方式 可设置 ；</w:t>
            </w:r>
          </w:p>
          <w:p w14:paraId="06170B9F">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ascii="宋体" w:hAnsi="宋体" w:cs="Times New Roman"/>
                <w:color w:val="auto"/>
              </w:rPr>
              <w:t>电表可计量</w:t>
            </w:r>
            <w:r>
              <w:rPr>
                <w:rFonts w:hint="eastAsia"/>
                <w:color w:val="auto"/>
              </w:rPr>
              <w:t>A</w:t>
            </w:r>
            <w:r>
              <w:rPr>
                <w:rFonts w:hint="eastAsia" w:ascii="宋体" w:hAnsi="宋体" w:cs="Times New Roman"/>
                <w:color w:val="auto"/>
              </w:rPr>
              <w:t>、</w:t>
            </w:r>
            <w:r>
              <w:rPr>
                <w:rFonts w:hint="eastAsia"/>
                <w:color w:val="auto"/>
              </w:rPr>
              <w:t>B</w:t>
            </w:r>
            <w:r>
              <w:rPr>
                <w:rFonts w:hint="eastAsia" w:ascii="宋体" w:hAnsi="宋体" w:cs="Times New Roman"/>
                <w:color w:val="auto"/>
              </w:rPr>
              <w:t>、</w:t>
            </w:r>
            <w:r>
              <w:rPr>
                <w:rFonts w:hint="eastAsia"/>
                <w:color w:val="auto"/>
              </w:rPr>
              <w:t>C</w:t>
            </w:r>
            <w:r>
              <w:rPr>
                <w:rFonts w:hint="eastAsia" w:ascii="宋体" w:hAnsi="宋体" w:cs="Times New Roman"/>
                <w:color w:val="auto"/>
              </w:rPr>
              <w:t>三相的正反向有功 和四象限无功总电量；</w:t>
            </w:r>
          </w:p>
          <w:p w14:paraId="2D0CD86C">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10</w:t>
            </w:r>
            <w:r>
              <w:rPr>
                <w:rFonts w:hint="eastAsia" w:ascii="宋体" w:hAnsi="宋体" w:cs="Times New Roman"/>
                <w:color w:val="auto"/>
              </w:rPr>
              <w:t>、电表可存储当前及上</w:t>
            </w:r>
            <w:r>
              <w:rPr>
                <w:rFonts w:hint="eastAsia"/>
                <w:color w:val="auto"/>
              </w:rPr>
              <w:t>12</w:t>
            </w:r>
            <w:r>
              <w:rPr>
                <w:rFonts w:hint="eastAsia" w:ascii="宋体" w:hAnsi="宋体" w:cs="Times New Roman"/>
                <w:color w:val="auto"/>
              </w:rPr>
              <w:t xml:space="preserve">个结算日的电量 </w:t>
            </w:r>
            <w:r>
              <w:rPr>
                <w:color w:val="auto"/>
              </w:rPr>
              <w:t xml:space="preserve"> </w:t>
            </w:r>
            <w:r>
              <w:rPr>
                <w:rFonts w:hint="eastAsia" w:ascii="宋体" w:hAnsi="宋体" w:cs="Times New Roman"/>
                <w:color w:val="auto"/>
              </w:rPr>
              <w:t>数据；数据转存时间默认为月初</w:t>
            </w:r>
            <w:r>
              <w:rPr>
                <w:rFonts w:hint="eastAsia"/>
                <w:color w:val="auto"/>
              </w:rPr>
              <w:t>0</w:t>
            </w:r>
            <w:r>
              <w:rPr>
                <w:rFonts w:hint="eastAsia" w:ascii="宋体" w:hAnsi="宋体" w:cs="Times New Roman"/>
                <w:color w:val="auto"/>
              </w:rPr>
              <w:t xml:space="preserve">时 </w:t>
            </w:r>
            <w:r>
              <w:rPr>
                <w:rFonts w:hint="eastAsia"/>
                <w:color w:val="auto"/>
              </w:rPr>
              <w:t>(</w:t>
            </w:r>
            <w:r>
              <w:rPr>
                <w:rFonts w:hint="eastAsia" w:ascii="宋体" w:hAnsi="宋体" w:cs="Times New Roman"/>
                <w:color w:val="auto"/>
              </w:rPr>
              <w:t>月末</w:t>
            </w:r>
            <w:r>
              <w:rPr>
                <w:rFonts w:hint="eastAsia"/>
                <w:color w:val="auto"/>
              </w:rPr>
              <w:t>24</w:t>
            </w:r>
            <w:r>
              <w:rPr>
                <w:rFonts w:hint="eastAsia" w:ascii="宋体" w:hAnsi="宋体" w:cs="Times New Roman"/>
                <w:color w:val="auto"/>
              </w:rPr>
              <w:t>时</w:t>
            </w:r>
            <w:r>
              <w:rPr>
                <w:rFonts w:hint="eastAsia"/>
                <w:color w:val="auto"/>
              </w:rPr>
              <w:t>),</w:t>
            </w:r>
            <w:r>
              <w:rPr>
                <w:rFonts w:hint="eastAsia" w:ascii="宋体" w:hAnsi="宋体" w:cs="Times New Roman"/>
                <w:color w:val="auto"/>
              </w:rPr>
              <w:t>用户可根据实际需求设置其它</w:t>
            </w:r>
            <w:r>
              <w:rPr>
                <w:rFonts w:hint="eastAsia"/>
                <w:color w:val="auto"/>
              </w:rPr>
              <w:t>(1~28</w:t>
            </w:r>
            <w:r>
              <w:rPr>
                <w:rFonts w:hint="eastAsia" w:ascii="宋体" w:hAnsi="宋体" w:cs="Times New Roman"/>
                <w:color w:val="auto"/>
              </w:rPr>
              <w:t>日</w:t>
            </w:r>
            <w:r>
              <w:rPr>
                <w:rFonts w:hint="eastAsia"/>
                <w:color w:val="auto"/>
              </w:rPr>
              <w:t>)</w:t>
            </w:r>
            <w:r>
              <w:rPr>
                <w:rFonts w:hint="eastAsia" w:ascii="宋体" w:hAnsi="宋体" w:cs="Times New Roman"/>
                <w:color w:val="auto"/>
              </w:rPr>
              <w:t>任意时刻。</w:t>
            </w:r>
          </w:p>
          <w:p w14:paraId="7EE270C0">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11</w:t>
            </w:r>
            <w:r>
              <w:rPr>
                <w:rFonts w:hint="eastAsia" w:ascii="宋体" w:hAnsi="宋体" w:cs="Times New Roman"/>
                <w:color w:val="auto"/>
              </w:rPr>
              <w:t>、电表实时测量</w:t>
            </w:r>
            <w:r>
              <w:rPr>
                <w:rFonts w:hint="eastAsia"/>
                <w:color w:val="auto"/>
              </w:rPr>
              <w:t>A</w:t>
            </w:r>
            <w:r>
              <w:rPr>
                <w:rFonts w:hint="eastAsia" w:ascii="宋体" w:hAnsi="宋体" w:cs="Times New Roman"/>
                <w:color w:val="auto"/>
              </w:rPr>
              <w:t>、</w:t>
            </w:r>
            <w:r>
              <w:rPr>
                <w:rFonts w:hint="eastAsia"/>
                <w:color w:val="auto"/>
              </w:rPr>
              <w:t>B</w:t>
            </w:r>
            <w:r>
              <w:rPr>
                <w:rFonts w:hint="eastAsia" w:ascii="宋体" w:hAnsi="宋体" w:cs="Times New Roman"/>
                <w:color w:val="auto"/>
              </w:rPr>
              <w:t>、</w:t>
            </w:r>
            <w:r>
              <w:rPr>
                <w:rFonts w:hint="eastAsia"/>
                <w:color w:val="auto"/>
              </w:rPr>
              <w:t>C</w:t>
            </w:r>
            <w:r>
              <w:rPr>
                <w:rFonts w:hint="eastAsia" w:ascii="宋体" w:hAnsi="宋体" w:cs="Times New Roman"/>
                <w:color w:val="auto"/>
              </w:rPr>
              <w:t>各相的电压、电流、相角、视在功率、有功功率、 无功功率、功率因數及电网频率，并且显示功率的方向。</w:t>
            </w:r>
          </w:p>
          <w:p w14:paraId="2A4F5AD1">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12</w:t>
            </w:r>
            <w:r>
              <w:rPr>
                <w:rFonts w:hint="eastAsia" w:ascii="宋体" w:hAnsi="宋体" w:cs="Times New Roman"/>
                <w:color w:val="auto"/>
              </w:rPr>
              <w:t>、越限监测功能：可对各相电压、电 流等参数设置阀值进行监视，通过监测该量值是否超出或低于预先设 定的限值，以事件方式进行记录。</w:t>
            </w:r>
          </w:p>
          <w:p w14:paraId="09B24356">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13</w:t>
            </w:r>
            <w:r>
              <w:rPr>
                <w:rFonts w:hint="eastAsia" w:ascii="宋体" w:hAnsi="宋体" w:cs="Times New Roman"/>
                <w:color w:val="auto"/>
              </w:rPr>
              <w:t>、电表可记录总及各费率正、反向有功、四象限无功、组合无功最大需量及其发生时间；</w:t>
            </w:r>
          </w:p>
          <w:p w14:paraId="321FD4B0">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14</w:t>
            </w:r>
            <w:r>
              <w:rPr>
                <w:rFonts w:hint="eastAsia" w:ascii="宋体" w:hAnsi="宋体" w:cs="Times New Roman"/>
                <w:color w:val="auto"/>
              </w:rPr>
              <w:t>、电能表可支持四种费率</w:t>
            </w:r>
            <w:r>
              <w:rPr>
                <w:rFonts w:hint="eastAsia"/>
                <w:color w:val="auto"/>
              </w:rPr>
              <w:t>(</w:t>
            </w:r>
            <w:r>
              <w:rPr>
                <w:rFonts w:hint="eastAsia" w:ascii="宋体" w:hAnsi="宋体" w:cs="Times New Roman"/>
                <w:color w:val="auto"/>
              </w:rPr>
              <w:t>尖、峰、 平、谷</w:t>
            </w:r>
            <w:r>
              <w:rPr>
                <w:rFonts w:hint="eastAsia"/>
                <w:color w:val="auto"/>
              </w:rPr>
              <w:t>)</w:t>
            </w:r>
            <w:r>
              <w:rPr>
                <w:rFonts w:hint="eastAsia" w:ascii="宋体" w:hAnsi="宋体" w:cs="Times New Roman"/>
                <w:color w:val="auto"/>
              </w:rPr>
              <w:t>切换。电能具有两套时区表和两套日时段表方案，两套方案各自带有切换时间</w:t>
            </w:r>
            <w:r>
              <w:rPr>
                <w:rFonts w:hint="eastAsia"/>
                <w:color w:val="auto"/>
              </w:rPr>
              <w:t>(</w:t>
            </w:r>
            <w:r>
              <w:rPr>
                <w:rFonts w:hint="eastAsia" w:ascii="宋体" w:hAnsi="宋体" w:cs="Times New Roman"/>
                <w:color w:val="auto"/>
              </w:rPr>
              <w:t>年 月日时分</w:t>
            </w:r>
            <w:r>
              <w:rPr>
                <w:rFonts w:hint="eastAsia"/>
                <w:color w:val="auto"/>
              </w:rPr>
              <w:t>),</w:t>
            </w:r>
            <w:r>
              <w:rPr>
                <w:rFonts w:hint="eastAsia" w:ascii="宋体" w:hAnsi="宋体" w:cs="Times New Roman"/>
                <w:color w:val="auto"/>
              </w:rPr>
              <w:t>可通过预先设置切换时间实现两套费率方案的自动切换每套费率时段方案全年最大可设置</w:t>
            </w:r>
            <w:r>
              <w:rPr>
                <w:rFonts w:hint="eastAsia"/>
                <w:color w:val="auto"/>
              </w:rPr>
              <w:t>14</w:t>
            </w:r>
            <w:r>
              <w:rPr>
                <w:rFonts w:hint="eastAsia" w:ascii="宋体" w:hAnsi="宋体" w:cs="Times New Roman"/>
                <w:color w:val="auto"/>
              </w:rPr>
              <w:t>个时区，各个时区设置起始日期及使用的日时段表号。每天可以设置</w:t>
            </w:r>
            <w:r>
              <w:rPr>
                <w:rFonts w:hint="eastAsia"/>
                <w:color w:val="auto"/>
              </w:rPr>
              <w:t>14</w:t>
            </w:r>
            <w:r>
              <w:rPr>
                <w:rFonts w:hint="eastAsia" w:ascii="宋体" w:hAnsi="宋体" w:cs="Times New Roman"/>
                <w:color w:val="auto"/>
              </w:rPr>
              <w:t xml:space="preserve">个时段，各个时段设置起始时间及使用的费率。时段最小间隔为 </w:t>
            </w:r>
            <w:r>
              <w:rPr>
                <w:rFonts w:hint="eastAsia"/>
                <w:color w:val="auto"/>
              </w:rPr>
              <w:t>15</w:t>
            </w:r>
            <w:r>
              <w:rPr>
                <w:rFonts w:hint="eastAsia" w:ascii="宋体" w:hAnsi="宋体" w:cs="Times New Roman"/>
                <w:color w:val="auto"/>
              </w:rPr>
              <w:t>分钟</w:t>
            </w:r>
            <w:r>
              <w:rPr>
                <w:rFonts w:hint="eastAsia"/>
                <w:color w:val="auto"/>
              </w:rPr>
              <w:t>(</w:t>
            </w:r>
            <w:r>
              <w:rPr>
                <w:rFonts w:hint="eastAsia" w:ascii="宋体" w:hAnsi="宋体" w:cs="Times New Roman"/>
                <w:color w:val="auto"/>
              </w:rPr>
              <w:t>由上位机设置软件控制</w:t>
            </w:r>
            <w:r>
              <w:rPr>
                <w:rFonts w:hint="eastAsia"/>
                <w:color w:val="auto"/>
              </w:rPr>
              <w:t xml:space="preserve">), </w:t>
            </w:r>
            <w:r>
              <w:rPr>
                <w:rFonts w:hint="eastAsia" w:ascii="宋体" w:hAnsi="宋体" w:cs="Times New Roman"/>
                <w:color w:val="auto"/>
              </w:rPr>
              <w:t>可跨越零点设置。</w:t>
            </w:r>
          </w:p>
          <w:p w14:paraId="3C6739BD">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15</w:t>
            </w:r>
            <w:r>
              <w:rPr>
                <w:rFonts w:hint="eastAsia" w:ascii="宋体" w:hAnsi="宋体" w:cs="Times New Roman"/>
                <w:color w:val="auto"/>
              </w:rPr>
              <w:t>、 电能具有节假日和周休日特殊费率时段功能。最大可设置</w:t>
            </w:r>
            <w:r>
              <w:rPr>
                <w:rFonts w:hint="eastAsia"/>
                <w:color w:val="auto"/>
              </w:rPr>
              <w:t>254</w:t>
            </w:r>
            <w:r>
              <w:rPr>
                <w:rFonts w:hint="eastAsia" w:ascii="宋体" w:hAnsi="宋体" w:cs="Times New Roman"/>
                <w:color w:val="auto"/>
              </w:rPr>
              <w:t>个节假日费率数据。</w:t>
            </w:r>
          </w:p>
          <w:p w14:paraId="7F272DF8">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16</w:t>
            </w:r>
            <w:r>
              <w:rPr>
                <w:rFonts w:hint="eastAsia" w:ascii="宋体" w:hAnsi="宋体" w:cs="Times New Roman"/>
                <w:color w:val="auto"/>
              </w:rPr>
              <w:t>、仪表具有</w:t>
            </w:r>
            <w:r>
              <w:rPr>
                <w:rFonts w:hint="eastAsia"/>
                <w:color w:val="auto"/>
              </w:rPr>
              <w:t>RS-48S</w:t>
            </w:r>
            <w:r>
              <w:rPr>
                <w:rFonts w:hint="eastAsia" w:ascii="宋体" w:hAnsi="宋体" w:cs="Times New Roman"/>
                <w:color w:val="auto"/>
              </w:rPr>
              <w:t>通信接口和红外通信接口，支持</w:t>
            </w:r>
            <w:r>
              <w:rPr>
                <w:rFonts w:hint="eastAsia"/>
                <w:color w:val="auto"/>
              </w:rPr>
              <w:t>DL/T645</w:t>
            </w:r>
            <w:r>
              <w:rPr>
                <w:rFonts w:hint="eastAsia" w:ascii="宋体" w:hAnsi="宋体" w:cs="Times New Roman"/>
                <w:color w:val="auto"/>
              </w:rPr>
              <w:t>规约，可进行参数设置、数据采集等功能。通信可设置。具有可热插拔通讯无线模块接口。通信信道物理层相互独立，任意一条通信信道的损坏不影响其它信道正常工作。</w:t>
            </w:r>
          </w:p>
          <w:p w14:paraId="62FBC10A">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17</w:t>
            </w:r>
            <w:r>
              <w:rPr>
                <w:rFonts w:hint="eastAsia" w:ascii="宋体" w:hAnsi="宋体" w:cs="Times New Roman"/>
                <w:color w:val="auto"/>
              </w:rPr>
              <w:t>、电能具有</w:t>
            </w:r>
            <w:r>
              <w:rPr>
                <w:rFonts w:hint="eastAsia"/>
                <w:color w:val="auto"/>
              </w:rPr>
              <w:t>LCD</w:t>
            </w:r>
            <w:r>
              <w:rPr>
                <w:rFonts w:hint="eastAsia" w:ascii="宋体" w:hAnsi="宋体" w:cs="Times New Roman"/>
                <w:color w:val="auto"/>
              </w:rPr>
              <w:t>液品显示屏，可分自动循显和按键显示两种方式。按键显示时</w:t>
            </w:r>
            <w:r>
              <w:rPr>
                <w:rFonts w:hint="eastAsia"/>
                <w:color w:val="auto"/>
              </w:rPr>
              <w:t>LCD</w:t>
            </w:r>
            <w:r>
              <w:rPr>
                <w:rFonts w:hint="eastAsia" w:ascii="宋体" w:hAnsi="宋体" w:cs="Times New Roman"/>
                <w:color w:val="auto"/>
              </w:rPr>
              <w:t>启动背光灯，停电后，显示自动关闭，可通过按键方式唤醒显示。</w:t>
            </w:r>
          </w:p>
          <w:p w14:paraId="5001705E">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p>
        </w:tc>
        <w:tc>
          <w:tcPr>
            <w:tcW w:w="691" w:type="dxa"/>
            <w:tcBorders>
              <w:top w:val="single" w:color="auto" w:sz="4" w:space="0"/>
              <w:left w:val="nil"/>
              <w:bottom w:val="single" w:color="auto" w:sz="4" w:space="0"/>
              <w:right w:val="single" w:color="auto" w:sz="4" w:space="0"/>
            </w:tcBorders>
            <w:vAlign w:val="center"/>
          </w:tcPr>
          <w:p w14:paraId="6ABCB7BB">
            <w:pPr>
              <w:pageBreakBefore w:val="0"/>
              <w:kinsoku/>
              <w:wordWrap/>
              <w:overflowPunct/>
              <w:topLinePunct w:val="0"/>
              <w:autoSpaceDE/>
              <w:autoSpaceDN/>
              <w:bidi w:val="0"/>
              <w:adjustRightInd w:val="0"/>
              <w:snapToGrid w:val="0"/>
              <w:spacing w:beforeAutospacing="0" w:afterAutospacing="0" w:line="240" w:lineRule="auto"/>
              <w:jc w:val="center"/>
              <w:rPr>
                <w:rFonts w:hint="default" w:ascii="微软雅黑 Light" w:hAnsi="微软雅黑 Light" w:eastAsia="微软雅黑 Light" w:cs="Times New Roman"/>
                <w:color w:val="auto"/>
                <w:spacing w:val="6"/>
                <w:lang w:val="en-US" w:eastAsia="zh-CN"/>
              </w:rPr>
            </w:pPr>
            <w:r>
              <w:rPr>
                <w:rFonts w:hint="eastAsia" w:ascii="微软雅黑 Light" w:hAnsi="微软雅黑 Light" w:eastAsia="微软雅黑 Light" w:cs="Times New Roman"/>
                <w:color w:val="auto"/>
                <w:spacing w:val="6"/>
              </w:rPr>
              <w:t>只</w:t>
            </w:r>
          </w:p>
        </w:tc>
        <w:tc>
          <w:tcPr>
            <w:tcW w:w="665" w:type="dxa"/>
            <w:tcBorders>
              <w:top w:val="single" w:color="auto" w:sz="4" w:space="0"/>
              <w:left w:val="nil"/>
              <w:bottom w:val="single" w:color="auto" w:sz="4" w:space="0"/>
              <w:right w:val="single" w:color="auto" w:sz="4" w:space="0"/>
            </w:tcBorders>
            <w:vAlign w:val="center"/>
          </w:tcPr>
          <w:p w14:paraId="652434AD">
            <w:pPr>
              <w:pageBreakBefore w:val="0"/>
              <w:kinsoku/>
              <w:wordWrap/>
              <w:overflowPunct/>
              <w:topLinePunct w:val="0"/>
              <w:autoSpaceDE/>
              <w:autoSpaceDN/>
              <w:bidi w:val="0"/>
              <w:adjustRightInd w:val="0"/>
              <w:snapToGrid w:val="0"/>
              <w:spacing w:beforeAutospacing="0" w:afterAutospacing="0" w:line="240" w:lineRule="auto"/>
              <w:jc w:val="center"/>
              <w:rPr>
                <w:rFonts w:hint="eastAsia" w:eastAsia="微软雅黑 Light"/>
                <w:color w:val="auto"/>
                <w:spacing w:val="6"/>
              </w:rPr>
            </w:pPr>
            <w:r>
              <w:rPr>
                <w:rFonts w:hint="eastAsia" w:ascii="微软雅黑 Light" w:hAnsi="微软雅黑 Light" w:eastAsia="微软雅黑 Light" w:cs="Times New Roman"/>
                <w:color w:val="auto"/>
                <w:spacing w:val="6"/>
                <w:lang w:val="en-US" w:eastAsia="zh-CN"/>
              </w:rPr>
              <w:t>80</w:t>
            </w:r>
          </w:p>
        </w:tc>
        <w:tc>
          <w:tcPr>
            <w:tcW w:w="889" w:type="dxa"/>
            <w:tcBorders>
              <w:top w:val="single" w:color="auto" w:sz="4" w:space="0"/>
              <w:left w:val="nil"/>
              <w:bottom w:val="single" w:color="auto" w:sz="4" w:space="0"/>
              <w:right w:val="single" w:color="auto" w:sz="4" w:space="0"/>
            </w:tcBorders>
            <w:vAlign w:val="center"/>
          </w:tcPr>
          <w:p w14:paraId="7AB03CA7">
            <w:pPr>
              <w:pageBreakBefore w:val="0"/>
              <w:kinsoku/>
              <w:wordWrap/>
              <w:overflowPunct/>
              <w:topLinePunct w:val="0"/>
              <w:autoSpaceDE/>
              <w:autoSpaceDN/>
              <w:bidi w:val="0"/>
              <w:adjustRightInd w:val="0"/>
              <w:snapToGrid w:val="0"/>
              <w:spacing w:beforeAutospacing="0" w:afterAutospacing="0" w:line="240" w:lineRule="auto"/>
              <w:jc w:val="center"/>
              <w:rPr>
                <w:rFonts w:hint="default" w:eastAsia="微软雅黑 Light"/>
                <w:color w:val="auto"/>
                <w:spacing w:val="6"/>
                <w:lang w:val="en-US" w:eastAsia="zh-CN"/>
              </w:rPr>
            </w:pPr>
          </w:p>
        </w:tc>
        <w:tc>
          <w:tcPr>
            <w:tcW w:w="828" w:type="dxa"/>
            <w:tcBorders>
              <w:top w:val="single" w:color="auto" w:sz="4" w:space="0"/>
              <w:left w:val="nil"/>
              <w:bottom w:val="single" w:color="auto" w:sz="4" w:space="0"/>
              <w:right w:val="single" w:color="auto" w:sz="4" w:space="0"/>
            </w:tcBorders>
            <w:vAlign w:val="center"/>
          </w:tcPr>
          <w:p w14:paraId="1942ABDA">
            <w:pPr>
              <w:pageBreakBefore w:val="0"/>
              <w:kinsoku/>
              <w:wordWrap/>
              <w:overflowPunct/>
              <w:topLinePunct w:val="0"/>
              <w:autoSpaceDE/>
              <w:autoSpaceDN/>
              <w:bidi w:val="0"/>
              <w:adjustRightInd w:val="0"/>
              <w:snapToGrid w:val="0"/>
              <w:spacing w:beforeAutospacing="0" w:afterAutospacing="0" w:line="240" w:lineRule="auto"/>
              <w:jc w:val="center"/>
              <w:rPr>
                <w:rFonts w:hint="default" w:eastAsia="微软雅黑 Light"/>
                <w:color w:val="auto"/>
                <w:spacing w:val="6"/>
                <w:lang w:val="en-US" w:eastAsia="zh-CN"/>
              </w:rPr>
            </w:pPr>
          </w:p>
        </w:tc>
        <w:tc>
          <w:tcPr>
            <w:tcW w:w="1018" w:type="dxa"/>
            <w:tcBorders>
              <w:top w:val="single" w:color="auto" w:sz="4" w:space="0"/>
              <w:left w:val="nil"/>
              <w:bottom w:val="single" w:color="auto" w:sz="4" w:space="0"/>
              <w:right w:val="single" w:color="auto" w:sz="4" w:space="0"/>
            </w:tcBorders>
            <w:vAlign w:val="center"/>
          </w:tcPr>
          <w:p w14:paraId="71DCACF1">
            <w:pPr>
              <w:pageBreakBefore w:val="0"/>
              <w:kinsoku/>
              <w:wordWrap/>
              <w:overflowPunct/>
              <w:topLinePunct w:val="0"/>
              <w:autoSpaceDE/>
              <w:autoSpaceDN/>
              <w:bidi w:val="0"/>
              <w:adjustRightInd w:val="0"/>
              <w:snapToGrid w:val="0"/>
              <w:spacing w:beforeAutospacing="0" w:afterAutospacing="0" w:line="240" w:lineRule="auto"/>
              <w:jc w:val="center"/>
              <w:rPr>
                <w:rFonts w:hint="eastAsia" w:eastAsia="微软雅黑 Light"/>
                <w:color w:val="auto"/>
                <w:spacing w:val="6"/>
              </w:rPr>
            </w:pPr>
          </w:p>
        </w:tc>
      </w:tr>
      <w:tr w14:paraId="2528D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588D244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eastAsia="微软雅黑 Light" w:cs="Times New Roman"/>
                <w:color w:val="auto"/>
                <w:spacing w:val="6"/>
                <w:lang w:eastAsia="zh-CN"/>
              </w:rPr>
            </w:pPr>
            <w:r>
              <w:rPr>
                <w:rFonts w:hint="eastAsia" w:eastAsia="微软雅黑 Light"/>
                <w:color w:val="auto"/>
                <w:spacing w:val="6"/>
                <w:lang w:val="en-US" w:eastAsia="zh-CN"/>
              </w:rPr>
              <w:t>4</w:t>
            </w:r>
          </w:p>
        </w:tc>
        <w:tc>
          <w:tcPr>
            <w:tcW w:w="1557" w:type="dxa"/>
            <w:tcBorders>
              <w:top w:val="single" w:color="auto" w:sz="4" w:space="0"/>
              <w:left w:val="nil"/>
              <w:bottom w:val="single" w:color="auto" w:sz="4" w:space="0"/>
              <w:right w:val="single" w:color="auto" w:sz="4" w:space="0"/>
            </w:tcBorders>
            <w:vAlign w:val="center"/>
          </w:tcPr>
          <w:p w14:paraId="78F17E2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eastAsia="微软雅黑 Light"/>
                <w:color w:val="auto"/>
                <w:spacing w:val="6"/>
              </w:rPr>
              <w:t>4G</w:t>
            </w:r>
            <w:r>
              <w:rPr>
                <w:rFonts w:hint="eastAsia" w:ascii="微软雅黑 Light" w:hAnsi="微软雅黑 Light" w:eastAsia="微软雅黑 Light" w:cs="Times New Roman"/>
                <w:color w:val="auto"/>
                <w:spacing w:val="6"/>
              </w:rPr>
              <w:t>远传水表（</w:t>
            </w:r>
            <w:r>
              <w:rPr>
                <w:rFonts w:hint="eastAsia" w:eastAsia="微软雅黑 Light"/>
                <w:color w:val="auto"/>
                <w:spacing w:val="6"/>
              </w:rPr>
              <w:t>DN15</w:t>
            </w:r>
            <w:r>
              <w:rPr>
                <w:rFonts w:hint="eastAsia" w:ascii="微软雅黑 Light" w:hAnsi="微软雅黑 Light" w:eastAsia="微软雅黑 Light" w:cs="Times New Roman"/>
                <w:color w:val="auto"/>
                <w:spacing w:val="6"/>
              </w:rPr>
              <w:t>）</w:t>
            </w:r>
          </w:p>
        </w:tc>
        <w:tc>
          <w:tcPr>
            <w:tcW w:w="7677" w:type="dxa"/>
            <w:vMerge w:val="restart"/>
            <w:tcBorders>
              <w:top w:val="nil"/>
              <w:left w:val="nil"/>
              <w:bottom w:val="single" w:color="auto" w:sz="4" w:space="0"/>
              <w:right w:val="single" w:color="auto" w:sz="4" w:space="0"/>
            </w:tcBorders>
            <w:vAlign w:val="center"/>
          </w:tcPr>
          <w:p w14:paraId="14CCCF3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eastAsia="宋体" w:cs="Times New Roman"/>
                <w:color w:val="auto"/>
              </w:rPr>
            </w:pPr>
            <w:r>
              <w:rPr>
                <w:rFonts w:hint="eastAsia"/>
                <w:color w:val="auto"/>
              </w:rPr>
              <w:t>1</w:t>
            </w:r>
            <w:r>
              <w:rPr>
                <w:rFonts w:hint="eastAsia" w:ascii="宋体" w:hAnsi="宋体" w:cs="Times New Roman"/>
                <w:color w:val="auto"/>
              </w:rPr>
              <w:t>、准确度等级：</w:t>
            </w:r>
            <w:r>
              <w:rPr>
                <w:rFonts w:hint="eastAsia"/>
                <w:color w:val="auto"/>
              </w:rPr>
              <w:t>2</w:t>
            </w:r>
            <w:r>
              <w:rPr>
                <w:rFonts w:hint="eastAsia" w:ascii="宋体" w:hAnsi="宋体" w:cs="Times New Roman"/>
                <w:color w:val="auto"/>
              </w:rPr>
              <w:t>级及以上；</w:t>
            </w:r>
          </w:p>
          <w:p w14:paraId="679ED55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w:t>
            </w:r>
            <w:r>
              <w:rPr>
                <w:rFonts w:hint="eastAsia" w:ascii="宋体" w:hAnsi="宋体" w:cs="Times New Roman"/>
                <w:color w:val="auto"/>
              </w:rPr>
              <w:t>、压力等级：≥</w:t>
            </w:r>
            <w:r>
              <w:rPr>
                <w:rFonts w:hint="eastAsia"/>
                <w:color w:val="auto"/>
              </w:rPr>
              <w:t>MAP10</w:t>
            </w:r>
            <w:r>
              <w:rPr>
                <w:rFonts w:hint="eastAsia" w:ascii="宋体" w:hAnsi="宋体" w:cs="Times New Roman"/>
                <w:color w:val="auto"/>
              </w:rPr>
              <w:t>；</w:t>
            </w:r>
          </w:p>
          <w:p w14:paraId="553F9D7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3</w:t>
            </w:r>
            <w:r>
              <w:rPr>
                <w:rFonts w:hint="eastAsia" w:ascii="宋体" w:hAnsi="宋体" w:cs="Times New Roman"/>
                <w:color w:val="auto"/>
              </w:rPr>
              <w:t>、量程比：≥</w:t>
            </w:r>
            <w:r>
              <w:rPr>
                <w:rFonts w:hint="eastAsia"/>
                <w:color w:val="auto"/>
              </w:rPr>
              <w:t>R100</w:t>
            </w:r>
            <w:r>
              <w:rPr>
                <w:rFonts w:hint="eastAsia" w:ascii="宋体" w:hAnsi="宋体" w:cs="Times New Roman"/>
                <w:color w:val="auto"/>
              </w:rPr>
              <w:t>；</w:t>
            </w:r>
          </w:p>
          <w:p w14:paraId="0DDA345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eastAsia="宋体" w:cs="Times New Roman"/>
                <w:color w:val="auto"/>
                <w:lang w:eastAsia="zh-CN"/>
              </w:rPr>
            </w:pPr>
            <w:r>
              <w:rPr>
                <w:rFonts w:hint="eastAsia"/>
                <w:color w:val="auto"/>
              </w:rPr>
              <w:t>4</w:t>
            </w:r>
            <w:r>
              <w:rPr>
                <w:rFonts w:hint="eastAsia" w:ascii="宋体" w:hAnsi="宋体" w:cs="Times New Roman"/>
                <w:color w:val="auto"/>
              </w:rPr>
              <w:t>、</w:t>
            </w:r>
            <w:r>
              <w:rPr>
                <w:rFonts w:hint="eastAsia" w:cs="Times New Roman"/>
                <w:color w:val="auto"/>
                <w:lang w:val="en-US" w:eastAsia="zh-CN"/>
              </w:rPr>
              <w:t>表本体材质</w:t>
            </w:r>
            <w:r>
              <w:rPr>
                <w:rFonts w:hint="eastAsia" w:ascii="宋体" w:hAnsi="宋体" w:cs="Times New Roman"/>
                <w:color w:val="auto"/>
              </w:rPr>
              <w:t>：</w:t>
            </w:r>
            <w:r>
              <w:rPr>
                <w:rFonts w:hint="eastAsia" w:cs="Times New Roman"/>
                <w:color w:val="auto"/>
                <w:lang w:val="en-US" w:eastAsia="zh-CN"/>
              </w:rPr>
              <w:t>DN15-25为</w:t>
            </w:r>
            <w:r>
              <w:rPr>
                <w:rFonts w:hint="eastAsia" w:ascii="宋体" w:hAnsi="宋体" w:cs="Times New Roman"/>
                <w:color w:val="auto"/>
              </w:rPr>
              <w:t>铜</w:t>
            </w:r>
            <w:r>
              <w:rPr>
                <w:rFonts w:hint="eastAsia" w:cs="Times New Roman"/>
                <w:color w:val="auto"/>
                <w:lang w:val="en-US" w:eastAsia="zh-CN"/>
              </w:rPr>
              <w:t>壳</w:t>
            </w:r>
            <w:r>
              <w:rPr>
                <w:rFonts w:hint="eastAsia" w:ascii="宋体" w:hAnsi="宋体" w:cs="Times New Roman"/>
                <w:color w:val="auto"/>
                <w:lang w:eastAsia="zh-CN"/>
              </w:rPr>
              <w:t>，</w:t>
            </w:r>
            <w:r>
              <w:rPr>
                <w:rFonts w:hint="eastAsia" w:ascii="Calibri" w:hAnsi="Calibri" w:eastAsia="宋体" w:cs="Times New Roman"/>
                <w:color w:val="auto"/>
                <w:szCs w:val="21"/>
              </w:rPr>
              <w:t>DN</w:t>
            </w:r>
            <w:r>
              <w:rPr>
                <w:rFonts w:hint="eastAsia" w:ascii="Calibri" w:hAnsi="Calibri" w:eastAsia="宋体" w:cs="Times New Roman"/>
                <w:color w:val="auto"/>
                <w:szCs w:val="21"/>
                <w:lang w:val="en-US" w:eastAsia="zh-CN"/>
              </w:rPr>
              <w:t>32</w:t>
            </w:r>
            <w:r>
              <w:rPr>
                <w:rFonts w:hint="eastAsia" w:ascii="Calibri" w:hAnsi="Calibri" w:eastAsia="宋体" w:cs="Times New Roman"/>
                <w:color w:val="auto"/>
                <w:szCs w:val="21"/>
              </w:rPr>
              <w:t>-</w:t>
            </w:r>
            <w:r>
              <w:rPr>
                <w:rFonts w:hint="eastAsia"/>
                <w:color w:val="auto"/>
              </w:rPr>
              <w:t>150</w:t>
            </w:r>
            <w:r>
              <w:rPr>
                <w:rFonts w:hint="eastAsia" w:ascii="Calibri" w:hAnsi="Calibri" w:eastAsia="宋体" w:cs="Times New Roman"/>
                <w:color w:val="auto"/>
                <w:szCs w:val="21"/>
                <w:lang w:val="en-US" w:eastAsia="zh-CN"/>
              </w:rPr>
              <w:t>为球墨铸铁</w:t>
            </w:r>
          </w:p>
          <w:p w14:paraId="6ED8DAD5">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5</w:t>
            </w:r>
            <w:r>
              <w:rPr>
                <w:rFonts w:hint="eastAsia" w:ascii="宋体" w:hAnsi="宋体" w:cs="Times New Roman"/>
                <w:color w:val="auto"/>
              </w:rPr>
              <w:t>、机芯类型：湿式机芯；</w:t>
            </w:r>
          </w:p>
          <w:p w14:paraId="12C4157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6</w:t>
            </w:r>
            <w:r>
              <w:rPr>
                <w:rFonts w:hint="eastAsia" w:ascii="宋体" w:hAnsi="宋体" w:cs="Times New Roman"/>
                <w:color w:val="auto"/>
              </w:rPr>
              <w:t>、传感器类型：磁阻</w:t>
            </w:r>
            <w:r>
              <w:rPr>
                <w:rFonts w:hint="eastAsia"/>
                <w:color w:val="auto"/>
              </w:rPr>
              <w:t>/</w:t>
            </w:r>
            <w:r>
              <w:rPr>
                <w:rFonts w:hint="eastAsia" w:ascii="宋体" w:hAnsi="宋体" w:cs="Times New Roman"/>
                <w:color w:val="auto"/>
              </w:rPr>
              <w:t>无磁；</w:t>
            </w:r>
          </w:p>
          <w:p w14:paraId="1F619DE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7</w:t>
            </w:r>
            <w:r>
              <w:rPr>
                <w:rFonts w:hint="eastAsia" w:ascii="宋体" w:hAnsi="宋体" w:cs="Times New Roman"/>
                <w:color w:val="auto"/>
              </w:rPr>
              <w:t>、电子采样分辨率：≥</w:t>
            </w:r>
            <w:r>
              <w:rPr>
                <w:rFonts w:hint="eastAsia"/>
                <w:color w:val="auto"/>
              </w:rPr>
              <w:t>0.001m</w:t>
            </w:r>
            <w:r>
              <w:rPr>
                <w:rFonts w:hint="eastAsia" w:ascii="宋体" w:hAnsi="宋体" w:cs="Times New Roman"/>
                <w:color w:val="auto"/>
              </w:rPr>
              <w:t>³；</w:t>
            </w:r>
          </w:p>
          <w:p w14:paraId="2682C43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8</w:t>
            </w:r>
            <w:r>
              <w:rPr>
                <w:rFonts w:hint="eastAsia" w:ascii="宋体" w:hAnsi="宋体" w:cs="Times New Roman"/>
                <w:color w:val="auto"/>
              </w:rPr>
              <w:t>、温度等级为</w:t>
            </w:r>
            <w:r>
              <w:rPr>
                <w:rFonts w:hint="eastAsia"/>
                <w:color w:val="auto"/>
              </w:rPr>
              <w:t>T30</w:t>
            </w:r>
            <w:r>
              <w:rPr>
                <w:rFonts w:hint="eastAsia" w:ascii="宋体" w:hAnsi="宋体" w:cs="Times New Roman"/>
                <w:color w:val="auto"/>
              </w:rPr>
              <w:t>，水表防冻性能强</w:t>
            </w:r>
          </w:p>
          <w:p w14:paraId="5DA6ABC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9</w:t>
            </w:r>
            <w:r>
              <w:rPr>
                <w:rFonts w:hint="eastAsia" w:ascii="宋体" w:hAnsi="宋体" w:cs="Times New Roman"/>
                <w:color w:val="auto"/>
              </w:rPr>
              <w:t>、压力损失等级</w:t>
            </w:r>
            <w:r>
              <w:rPr>
                <w:rFonts w:hint="eastAsia"/>
                <w:color w:val="auto"/>
              </w:rPr>
              <w:t>:</w:t>
            </w:r>
            <w:r>
              <w:rPr>
                <w:rFonts w:hint="eastAsia" w:ascii="宋体" w:hAnsi="宋体" w:cs="Times New Roman"/>
                <w:color w:val="auto"/>
              </w:rPr>
              <w:t>△</w:t>
            </w:r>
            <w:r>
              <w:rPr>
                <w:rFonts w:hint="eastAsia"/>
                <w:color w:val="auto"/>
              </w:rPr>
              <w:t>p63</w:t>
            </w:r>
          </w:p>
          <w:p w14:paraId="7AD2DF2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10</w:t>
            </w:r>
            <w:r>
              <w:rPr>
                <w:rFonts w:hint="eastAsia" w:ascii="宋体" w:hAnsi="宋体" w:cs="Times New Roman"/>
                <w:color w:val="auto"/>
              </w:rPr>
              <w:t>、上游流场敏感度等级</w:t>
            </w:r>
            <w:r>
              <w:rPr>
                <w:rFonts w:hint="eastAsia"/>
                <w:color w:val="auto"/>
              </w:rPr>
              <w:t>:U10</w:t>
            </w:r>
          </w:p>
          <w:p w14:paraId="188B67B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ascii="宋体" w:hAnsi="宋体" w:cs="Times New Roman"/>
                <w:color w:val="auto"/>
              </w:rPr>
              <w:t>下游流场敏感度等级</w:t>
            </w:r>
            <w:r>
              <w:rPr>
                <w:rFonts w:hint="eastAsia"/>
                <w:color w:val="auto"/>
              </w:rPr>
              <w:t>:D5</w:t>
            </w:r>
          </w:p>
          <w:p w14:paraId="43C2ABC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11</w:t>
            </w:r>
            <w:r>
              <w:rPr>
                <w:rFonts w:hint="eastAsia" w:ascii="宋体" w:hAnsi="宋体" w:cs="Times New Roman"/>
                <w:color w:val="auto"/>
              </w:rPr>
              <w:t>、环境等级</w:t>
            </w:r>
            <w:r>
              <w:rPr>
                <w:rFonts w:hint="eastAsia"/>
                <w:color w:val="auto"/>
              </w:rPr>
              <w:t>:B</w:t>
            </w:r>
            <w:r>
              <w:rPr>
                <w:rFonts w:hint="eastAsia" w:ascii="宋体" w:hAnsi="宋体" w:cs="Times New Roman"/>
                <w:color w:val="auto"/>
              </w:rPr>
              <w:t>级</w:t>
            </w:r>
          </w:p>
          <w:p w14:paraId="3AB2C2DE">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12</w:t>
            </w:r>
            <w:r>
              <w:rPr>
                <w:rFonts w:hint="eastAsia" w:ascii="宋体" w:hAnsi="宋体" w:cs="Times New Roman"/>
                <w:color w:val="auto"/>
              </w:rPr>
              <w:t>、电磁环境等级</w:t>
            </w:r>
            <w:r>
              <w:rPr>
                <w:rFonts w:hint="eastAsia"/>
                <w:color w:val="auto"/>
              </w:rPr>
              <w:t>:E1</w:t>
            </w:r>
            <w:r>
              <w:rPr>
                <w:rFonts w:hint="eastAsia" w:ascii="宋体" w:hAnsi="宋体" w:cs="Times New Roman"/>
                <w:color w:val="auto"/>
              </w:rPr>
              <w:t>级</w:t>
            </w:r>
          </w:p>
          <w:p w14:paraId="32E71A8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13</w:t>
            </w:r>
            <w:r>
              <w:rPr>
                <w:rFonts w:hint="eastAsia" w:ascii="宋体" w:hAnsi="宋体" w:cs="Times New Roman"/>
                <w:color w:val="auto"/>
              </w:rPr>
              <w:t>、水表的最大允许压力</w:t>
            </w:r>
            <w:r>
              <w:rPr>
                <w:rFonts w:hint="eastAsia"/>
                <w:color w:val="auto"/>
              </w:rPr>
              <w:t>(MAP)</w:t>
            </w:r>
            <w:r>
              <w:rPr>
                <w:rFonts w:hint="eastAsia" w:ascii="宋体" w:hAnsi="宋体" w:cs="Times New Roman"/>
                <w:color w:val="auto"/>
              </w:rPr>
              <w:t xml:space="preserve">至少为 </w:t>
            </w:r>
            <w:r>
              <w:rPr>
                <w:rFonts w:hint="eastAsia"/>
                <w:color w:val="auto"/>
              </w:rPr>
              <w:t>1MPa</w:t>
            </w:r>
          </w:p>
          <w:p w14:paraId="19C6AD7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14</w:t>
            </w:r>
            <w:r>
              <w:rPr>
                <w:rFonts w:hint="eastAsia" w:ascii="宋体" w:hAnsi="宋体" w:cs="Times New Roman"/>
                <w:color w:val="auto"/>
              </w:rPr>
              <w:t>、水表在承受</w:t>
            </w:r>
            <w:r>
              <w:rPr>
                <w:rFonts w:hint="eastAsia"/>
                <w:color w:val="auto"/>
              </w:rPr>
              <w:t>1.6</w:t>
            </w:r>
            <w:r>
              <w:rPr>
                <w:rFonts w:hint="eastAsia" w:ascii="宋体" w:hAnsi="宋体" w:cs="Times New Roman"/>
                <w:color w:val="auto"/>
              </w:rPr>
              <w:t>倍最大允许压力，施加</w:t>
            </w:r>
            <w:r>
              <w:rPr>
                <w:rFonts w:hint="eastAsia"/>
                <w:color w:val="auto"/>
              </w:rPr>
              <w:t>15min</w:t>
            </w:r>
            <w:r>
              <w:rPr>
                <w:rFonts w:hint="eastAsia" w:ascii="宋体" w:hAnsi="宋体" w:cs="Times New Roman"/>
                <w:color w:val="auto"/>
              </w:rPr>
              <w:t>的试验压力下而不发生渗漏、泄露或损坏。</w:t>
            </w:r>
          </w:p>
          <w:p w14:paraId="5E7F572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15</w:t>
            </w:r>
            <w:r>
              <w:rPr>
                <w:rFonts w:hint="eastAsia" w:ascii="宋体" w:hAnsi="宋体" w:cs="Times New Roman"/>
                <w:color w:val="auto"/>
              </w:rPr>
              <w:t>、水表在承受</w:t>
            </w:r>
            <w:r>
              <w:rPr>
                <w:rFonts w:hint="eastAsia"/>
                <w:color w:val="auto"/>
              </w:rPr>
              <w:t>2</w:t>
            </w:r>
            <w:r>
              <w:rPr>
                <w:rFonts w:hint="eastAsia" w:ascii="宋体" w:hAnsi="宋体" w:cs="Times New Roman"/>
                <w:color w:val="auto"/>
              </w:rPr>
              <w:t>倍最大允许压力，施加</w:t>
            </w:r>
            <w:r>
              <w:rPr>
                <w:rFonts w:hint="eastAsia"/>
                <w:color w:val="auto"/>
              </w:rPr>
              <w:t>1min</w:t>
            </w:r>
            <w:r>
              <w:rPr>
                <w:rFonts w:hint="eastAsia" w:ascii="宋体" w:hAnsi="宋体" w:cs="Times New Roman"/>
                <w:color w:val="auto"/>
              </w:rPr>
              <w:t>的试验压力下而不发生渗漏、泄露或损坏。</w:t>
            </w:r>
          </w:p>
          <w:p w14:paraId="212CBA2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16</w:t>
            </w:r>
            <w:r>
              <w:rPr>
                <w:rFonts w:hint="eastAsia" w:ascii="宋体" w:hAnsi="宋体" w:cs="Times New Roman"/>
                <w:color w:val="auto"/>
              </w:rPr>
              <w:t>、在</w:t>
            </w:r>
            <w:r>
              <w:rPr>
                <w:rFonts w:hint="eastAsia"/>
                <w:color w:val="auto"/>
              </w:rPr>
              <w:t>0.04m</w:t>
            </w:r>
            <w:r>
              <w:rPr>
                <w:rFonts w:hint="eastAsia" w:ascii="宋体" w:hAnsi="宋体" w:cs="Times New Roman"/>
                <w:color w:val="auto"/>
              </w:rPr>
              <w:t>³</w:t>
            </w:r>
            <w:r>
              <w:rPr>
                <w:rFonts w:hint="eastAsia"/>
                <w:color w:val="auto"/>
              </w:rPr>
              <w:t>/h</w:t>
            </w:r>
            <w:r>
              <w:rPr>
                <w:rFonts w:hint="eastAsia" w:ascii="宋体" w:hAnsi="宋体" w:cs="Times New Roman"/>
                <w:color w:val="auto"/>
              </w:rPr>
              <w:t>试验下，固有示值误差在</w:t>
            </w:r>
            <w:r>
              <w:rPr>
                <w:rFonts w:hint="eastAsia"/>
                <w:color w:val="auto"/>
              </w:rPr>
              <w:t>-2%</w:t>
            </w:r>
            <w:r>
              <w:rPr>
                <w:rFonts w:hint="eastAsia" w:ascii="宋体" w:hAnsi="宋体" w:cs="Times New Roman"/>
                <w:color w:val="auto"/>
              </w:rPr>
              <w:t>≤δ≤</w:t>
            </w:r>
            <w:r>
              <w:rPr>
                <w:rFonts w:hint="eastAsia"/>
                <w:color w:val="auto"/>
              </w:rPr>
              <w:t>2%</w:t>
            </w:r>
            <w:r>
              <w:rPr>
                <w:rFonts w:hint="eastAsia" w:ascii="宋体" w:hAnsi="宋体" w:cs="Times New Roman"/>
                <w:color w:val="auto"/>
              </w:rPr>
              <w:t>范围内。</w:t>
            </w:r>
          </w:p>
          <w:p w14:paraId="4A0CC67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cs="Times New Roman"/>
                <w:color w:val="auto"/>
              </w:rPr>
              <w:t>17</w:t>
            </w:r>
            <w:r>
              <w:rPr>
                <w:rFonts w:hint="eastAsia" w:ascii="宋体" w:hAnsi="宋体" w:cs="Times New Roman"/>
                <w:color w:val="auto"/>
              </w:rPr>
              <w:t>、水温保持在</w:t>
            </w:r>
            <w:r>
              <w:rPr>
                <w:rFonts w:cs="Times New Roman"/>
                <w:color w:val="auto"/>
              </w:rPr>
              <w:t>(10±5)</w:t>
            </w:r>
            <w:r>
              <w:rPr>
                <w:rFonts w:hint="eastAsia" w:ascii="宋体" w:hAnsi="宋体" w:cs="Times New Roman"/>
                <w:color w:val="auto"/>
              </w:rPr>
              <w:t>℃</w:t>
            </w:r>
            <w:r>
              <w:rPr>
                <w:rFonts w:cs="Times New Roman"/>
                <w:color w:val="auto"/>
              </w:rPr>
              <w:t>,</w:t>
            </w:r>
            <w:r>
              <w:rPr>
                <w:rFonts w:hint="eastAsia" w:ascii="宋体" w:hAnsi="宋体" w:cs="Times New Roman"/>
                <w:color w:val="auto"/>
              </w:rPr>
              <w:t>在</w:t>
            </w:r>
            <w:r>
              <w:rPr>
                <w:rFonts w:cs="Times New Roman"/>
                <w:color w:val="auto"/>
              </w:rPr>
              <w:t>Q₂</w:t>
            </w:r>
            <w:r>
              <w:rPr>
                <w:rFonts w:hint="eastAsia" w:ascii="宋体" w:hAnsi="宋体" w:cs="Times New Roman"/>
                <w:color w:val="auto"/>
              </w:rPr>
              <w:t>流量下</w:t>
            </w:r>
            <w:r>
              <w:rPr>
                <w:rFonts w:cs="Times New Roman"/>
                <w:color w:val="auto"/>
              </w:rPr>
              <w:t xml:space="preserve"> </w:t>
            </w:r>
            <w:r>
              <w:rPr>
                <w:rFonts w:hint="eastAsia" w:ascii="宋体" w:hAnsi="宋体" w:cs="Times New Roman"/>
                <w:color w:val="auto"/>
              </w:rPr>
              <w:t>测量水表的示值误差为</w:t>
            </w:r>
            <w:r>
              <w:rPr>
                <w:rFonts w:cs="Times New Roman"/>
                <w:color w:val="auto"/>
              </w:rPr>
              <w:t>-1.10%</w:t>
            </w:r>
          </w:p>
          <w:p w14:paraId="6F50D2B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cs="Times New Roman"/>
                <w:color w:val="auto"/>
              </w:rPr>
              <w:t>18</w:t>
            </w:r>
            <w:r>
              <w:rPr>
                <w:rFonts w:hint="eastAsia" w:ascii="宋体" w:hAnsi="宋体" w:cs="Times New Roman"/>
                <w:color w:val="auto"/>
              </w:rPr>
              <w:t>、水温保持在最高允许温度</w:t>
            </w:r>
            <w:r>
              <w:rPr>
                <w:rFonts w:cs="Times New Roman"/>
                <w:color w:val="auto"/>
              </w:rPr>
              <w:t>MAT,</w:t>
            </w:r>
            <w:r>
              <w:rPr>
                <w:rFonts w:hint="eastAsia" w:ascii="宋体" w:hAnsi="宋体" w:cs="Times New Roman"/>
                <w:color w:val="auto"/>
              </w:rPr>
              <w:t>允许偏差</w:t>
            </w:r>
            <w:r>
              <w:rPr>
                <w:rFonts w:cs="Times New Roman"/>
                <w:color w:val="auto"/>
              </w:rPr>
              <w:t>-5</w:t>
            </w:r>
            <w:r>
              <w:rPr>
                <w:rFonts w:hint="eastAsia" w:ascii="宋体" w:hAnsi="宋体" w:cs="Times New Roman"/>
                <w:color w:val="auto"/>
              </w:rPr>
              <w:t>℃</w:t>
            </w:r>
            <w:r>
              <w:rPr>
                <w:rFonts w:cs="Times New Roman"/>
                <w:color w:val="auto"/>
              </w:rPr>
              <w:t>~0</w:t>
            </w:r>
            <w:r>
              <w:rPr>
                <w:rFonts w:hint="eastAsia" w:ascii="宋体" w:hAnsi="宋体" w:cs="Times New Roman"/>
                <w:color w:val="auto"/>
              </w:rPr>
              <w:t>℃</w:t>
            </w:r>
            <w:r>
              <w:rPr>
                <w:rFonts w:cs="Times New Roman"/>
                <w:color w:val="auto"/>
              </w:rPr>
              <w:t>,</w:t>
            </w:r>
            <w:r>
              <w:rPr>
                <w:rFonts w:hint="eastAsia" w:ascii="宋体" w:hAnsi="宋体" w:cs="Times New Roman"/>
                <w:color w:val="auto"/>
              </w:rPr>
              <w:t>在</w:t>
            </w:r>
            <w:r>
              <w:rPr>
                <w:rFonts w:cs="Times New Roman"/>
                <w:color w:val="auto"/>
              </w:rPr>
              <w:t>Q₂</w:t>
            </w:r>
            <w:r>
              <w:rPr>
                <w:rFonts w:hint="eastAsia" w:ascii="宋体" w:hAnsi="宋体" w:cs="Times New Roman"/>
                <w:color w:val="auto"/>
              </w:rPr>
              <w:t>流量下测量水表的示值误差为</w:t>
            </w:r>
            <w:r>
              <w:rPr>
                <w:rFonts w:cs="Times New Roman"/>
                <w:color w:val="auto"/>
              </w:rPr>
              <w:t>-0.90%</w:t>
            </w:r>
          </w:p>
          <w:p w14:paraId="7647E0B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cs="Times New Roman"/>
                <w:color w:val="auto"/>
              </w:rPr>
              <w:t>19</w:t>
            </w:r>
            <w:r>
              <w:rPr>
                <w:rFonts w:hint="eastAsia" w:ascii="宋体" w:hAnsi="宋体" w:cs="Times New Roman"/>
                <w:color w:val="auto"/>
              </w:rPr>
              <w:t>、水表入口水压保持在</w:t>
            </w:r>
            <w:r>
              <w:rPr>
                <w:rFonts w:cs="Times New Roman"/>
                <w:color w:val="auto"/>
              </w:rPr>
              <w:t>0.03MPa,</w:t>
            </w:r>
            <w:r>
              <w:rPr>
                <w:rFonts w:hint="eastAsia" w:ascii="宋体" w:hAnsi="宋体" w:cs="Times New Roman"/>
                <w:color w:val="auto"/>
              </w:rPr>
              <w:t>允许</w:t>
            </w:r>
            <w:r>
              <w:rPr>
                <w:rFonts w:cs="Times New Roman"/>
                <w:color w:val="auto"/>
              </w:rPr>
              <w:t xml:space="preserve"> </w:t>
            </w:r>
            <w:r>
              <w:rPr>
                <w:rFonts w:hint="eastAsia" w:ascii="宋体" w:hAnsi="宋体" w:cs="Times New Roman"/>
                <w:color w:val="auto"/>
              </w:rPr>
              <w:t>偏差</w:t>
            </w:r>
            <w:r>
              <w:rPr>
                <w:rFonts w:cs="Times New Roman"/>
                <w:color w:val="auto"/>
              </w:rPr>
              <w:t>5%</w:t>
            </w:r>
            <w:r>
              <w:rPr>
                <w:rFonts w:hint="eastAsia" w:ascii="宋体" w:hAnsi="宋体" w:cs="Times New Roman"/>
                <w:color w:val="auto"/>
              </w:rPr>
              <w:t>～</w:t>
            </w:r>
            <w:r>
              <w:rPr>
                <w:rFonts w:cs="Times New Roman"/>
                <w:color w:val="auto"/>
              </w:rPr>
              <w:t>0%,</w:t>
            </w:r>
            <w:r>
              <w:rPr>
                <w:rFonts w:hint="eastAsia" w:ascii="宋体" w:hAnsi="宋体" w:cs="Times New Roman"/>
                <w:color w:val="auto"/>
              </w:rPr>
              <w:t>在</w:t>
            </w:r>
            <w:r>
              <w:rPr>
                <w:rFonts w:cs="Times New Roman"/>
                <w:color w:val="auto"/>
              </w:rPr>
              <w:t>Q₂</w:t>
            </w:r>
            <w:r>
              <w:rPr>
                <w:rFonts w:hint="eastAsia" w:ascii="宋体" w:hAnsi="宋体" w:cs="Times New Roman"/>
                <w:color w:val="auto"/>
              </w:rPr>
              <w:t>流量下测量水表的示值误差为</w:t>
            </w:r>
            <w:r>
              <w:rPr>
                <w:rFonts w:cs="Times New Roman"/>
                <w:color w:val="auto"/>
              </w:rPr>
              <w:t>-0.70%</w:t>
            </w:r>
          </w:p>
          <w:p w14:paraId="10878BD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cs="Times New Roman"/>
                <w:color w:val="auto"/>
              </w:rPr>
              <w:t>20</w:t>
            </w:r>
            <w:r>
              <w:rPr>
                <w:rFonts w:hint="eastAsia" w:ascii="宋体" w:hAnsi="宋体" w:cs="Times New Roman"/>
                <w:color w:val="auto"/>
              </w:rPr>
              <w:t>、水表入口压力保持在</w:t>
            </w:r>
            <w:r>
              <w:rPr>
                <w:rFonts w:cs="Times New Roman"/>
                <w:color w:val="auto"/>
              </w:rPr>
              <w:t>MAP,</w:t>
            </w:r>
            <w:r>
              <w:rPr>
                <w:rFonts w:hint="eastAsia" w:ascii="宋体" w:hAnsi="宋体" w:cs="Times New Roman"/>
                <w:color w:val="auto"/>
              </w:rPr>
              <w:t>允许偏差</w:t>
            </w:r>
            <w:r>
              <w:rPr>
                <w:rFonts w:cs="Times New Roman"/>
                <w:color w:val="auto"/>
              </w:rPr>
              <w:t>0%</w:t>
            </w:r>
            <w:r>
              <w:rPr>
                <w:rFonts w:hint="eastAsia" w:ascii="宋体" w:hAnsi="宋体" w:cs="Times New Roman"/>
                <w:color w:val="auto"/>
              </w:rPr>
              <w:t>～</w:t>
            </w:r>
            <w:r>
              <w:rPr>
                <w:rFonts w:cs="Times New Roman"/>
                <w:color w:val="auto"/>
              </w:rPr>
              <w:t>-10%,</w:t>
            </w:r>
            <w:r>
              <w:rPr>
                <w:rFonts w:hint="eastAsia" w:ascii="宋体" w:hAnsi="宋体" w:cs="Times New Roman"/>
                <w:color w:val="auto"/>
              </w:rPr>
              <w:t>在</w:t>
            </w:r>
            <w:r>
              <w:rPr>
                <w:rFonts w:cs="Times New Roman"/>
                <w:color w:val="auto"/>
              </w:rPr>
              <w:t>Q₂</w:t>
            </w:r>
            <w:r>
              <w:rPr>
                <w:rFonts w:hint="eastAsia" w:ascii="宋体" w:hAnsi="宋体" w:cs="Times New Roman"/>
                <w:color w:val="auto"/>
              </w:rPr>
              <w:t>流量下测量水表的示值误差为</w:t>
            </w:r>
            <w:r>
              <w:rPr>
                <w:rFonts w:cs="Times New Roman"/>
                <w:color w:val="auto"/>
              </w:rPr>
              <w:t>-0.90%</w:t>
            </w:r>
          </w:p>
          <w:p w14:paraId="6E7A50D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hint="eastAsia"/>
                <w:color w:val="auto"/>
              </w:rPr>
              <w:t>21</w:t>
            </w:r>
            <w:r>
              <w:rPr>
                <w:rFonts w:hint="eastAsia" w:ascii="宋体" w:hAnsi="宋体" w:cs="Times New Roman"/>
                <w:color w:val="auto"/>
              </w:rPr>
              <w:t>、水表辅助装置试验期间，临时或永久安装的辅助装置，辅助装置上的体积示值与主示值之间的差异应不大于一个显示分度值</w:t>
            </w:r>
          </w:p>
          <w:p w14:paraId="3DFF209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22</w:t>
            </w:r>
            <w:r>
              <w:rPr>
                <w:rFonts w:hint="eastAsia" w:ascii="宋体" w:hAnsi="宋体" w:cs="Times New Roman"/>
                <w:color w:val="auto"/>
              </w:rPr>
              <w:t>、水表辅助装置试验期间，机电转换误差不超过±</w:t>
            </w:r>
            <w:r>
              <w:rPr>
                <w:rFonts w:hint="eastAsia"/>
                <w:color w:val="auto"/>
              </w:rPr>
              <w:t>1</w:t>
            </w:r>
            <w:r>
              <w:rPr>
                <w:rFonts w:hint="eastAsia" w:ascii="宋体" w:hAnsi="宋体" w:cs="Times New Roman"/>
                <w:color w:val="auto"/>
              </w:rPr>
              <w:t>个脉冲当量，一个最小转换分度值为</w:t>
            </w:r>
            <w:r>
              <w:rPr>
                <w:rFonts w:hint="eastAsia"/>
                <w:color w:val="auto"/>
              </w:rPr>
              <w:t>0.0018m</w:t>
            </w:r>
            <w:r>
              <w:rPr>
                <w:rFonts w:hint="eastAsia" w:ascii="宋体" w:hAnsi="宋体" w:cs="Times New Roman"/>
                <w:color w:val="auto"/>
              </w:rPr>
              <w:t>³，</w:t>
            </w:r>
          </w:p>
          <w:p w14:paraId="18A33EC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cs="Times New Roman"/>
                <w:color w:val="auto"/>
              </w:rPr>
              <w:t>23</w:t>
            </w:r>
            <w:r>
              <w:rPr>
                <w:rFonts w:hint="eastAsia" w:ascii="宋体" w:hAnsi="宋体" w:cs="Times New Roman"/>
                <w:color w:val="auto"/>
              </w:rPr>
              <w:t>、内静磁场施加试验条件期间在</w:t>
            </w:r>
            <w:r>
              <w:rPr>
                <w:rFonts w:cs="Times New Roman"/>
                <w:color w:val="auto"/>
              </w:rPr>
              <w:t>Q₃</w:t>
            </w:r>
            <w:r>
              <w:rPr>
                <w:rFonts w:hint="eastAsia" w:ascii="宋体" w:hAnsi="宋体" w:cs="Times New Roman"/>
                <w:color w:val="auto"/>
              </w:rPr>
              <w:t>流量下测量水表的示值误差应不超过高区的最大允许误差为</w:t>
            </w:r>
            <w:r>
              <w:rPr>
                <w:rFonts w:cs="Times New Roman"/>
                <w:color w:val="auto"/>
              </w:rPr>
              <w:t>0.48%</w:t>
            </w:r>
            <w:r>
              <w:rPr>
                <w:rFonts w:hint="eastAsia" w:ascii="宋体" w:hAnsi="宋体" w:cs="Times New Roman"/>
                <w:color w:val="auto"/>
              </w:rPr>
              <w:t>，在</w:t>
            </w:r>
            <w:r>
              <w:rPr>
                <w:rFonts w:cs="Times New Roman"/>
                <w:color w:val="auto"/>
              </w:rPr>
              <w:t>(-2%</w:t>
            </w:r>
            <w:r>
              <w:rPr>
                <w:rFonts w:hint="eastAsia" w:ascii="宋体" w:hAnsi="宋体" w:cs="Times New Roman"/>
                <w:color w:val="auto"/>
              </w:rPr>
              <w:t>≤δ≤</w:t>
            </w:r>
            <w:r>
              <w:rPr>
                <w:rFonts w:cs="Times New Roman"/>
                <w:color w:val="auto"/>
              </w:rPr>
              <w:t>2%)</w:t>
            </w:r>
            <w:r>
              <w:rPr>
                <w:rFonts w:hint="eastAsia" w:ascii="宋体" w:hAnsi="宋体" w:cs="Times New Roman"/>
                <w:color w:val="auto"/>
              </w:rPr>
              <w:t>范围内；</w:t>
            </w:r>
          </w:p>
          <w:p w14:paraId="0EE0666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hint="eastAsia"/>
                <w:color w:val="auto"/>
              </w:rPr>
              <w:t>24</w:t>
            </w:r>
            <w:r>
              <w:rPr>
                <w:rFonts w:hint="eastAsia" w:ascii="宋体" w:hAnsi="宋体" w:cs="Times New Roman"/>
                <w:color w:val="auto"/>
              </w:rPr>
              <w:t>、静磁场施加试验条件期间，水表功能检查正常</w:t>
            </w:r>
          </w:p>
          <w:p w14:paraId="11CB2F0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25</w:t>
            </w:r>
            <w:r>
              <w:rPr>
                <w:rFonts w:hint="eastAsia" w:ascii="宋体" w:hAnsi="宋体" w:cs="Times New Roman"/>
                <w:color w:val="auto"/>
              </w:rPr>
              <w:t>、静磁场施加试验条件期间，机电转换误差：不超过±</w:t>
            </w:r>
            <w:r>
              <w:rPr>
                <w:rFonts w:hint="eastAsia"/>
                <w:color w:val="auto"/>
              </w:rPr>
              <w:t>1</w:t>
            </w:r>
            <w:r>
              <w:rPr>
                <w:rFonts w:hint="eastAsia" w:ascii="宋体" w:hAnsi="宋体" w:cs="Times New Roman"/>
                <w:color w:val="auto"/>
              </w:rPr>
              <w:t>个脉冲当量，一个最小转换分度值为</w:t>
            </w:r>
            <w:r>
              <w:rPr>
                <w:rFonts w:hint="eastAsia"/>
                <w:color w:val="auto"/>
              </w:rPr>
              <w:t>-0.0074m</w:t>
            </w:r>
            <w:r>
              <w:rPr>
                <w:rFonts w:hint="eastAsia" w:ascii="宋体" w:hAnsi="宋体" w:cs="Times New Roman"/>
                <w:color w:val="auto"/>
              </w:rPr>
              <w:t>³</w:t>
            </w:r>
          </w:p>
          <w:p w14:paraId="2299B61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26</w:t>
            </w:r>
            <w:r>
              <w:rPr>
                <w:rFonts w:hint="eastAsia" w:ascii="宋体" w:hAnsi="宋体" w:cs="Times New Roman"/>
                <w:color w:val="auto"/>
              </w:rPr>
              <w:t>、在</w:t>
            </w:r>
            <w:r>
              <w:rPr>
                <w:rFonts w:hint="eastAsia"/>
                <w:color w:val="auto"/>
              </w:rPr>
              <w:t>Q1</w:t>
            </w:r>
            <w:r>
              <w:rPr>
                <w:rFonts w:hint="eastAsia" w:ascii="宋体" w:hAnsi="宋体" w:cs="Times New Roman"/>
                <w:color w:val="auto"/>
              </w:rPr>
              <w:t>～</w:t>
            </w:r>
            <w:r>
              <w:rPr>
                <w:rFonts w:hint="eastAsia"/>
                <w:color w:val="auto"/>
              </w:rPr>
              <w:t>Q3</w:t>
            </w:r>
            <w:r>
              <w:rPr>
                <w:rFonts w:hint="eastAsia" w:ascii="宋体" w:hAnsi="宋体" w:cs="Times New Roman"/>
                <w:color w:val="auto"/>
              </w:rPr>
              <w:t>范围内的任何一个流量下通过水表的最大压力损失不超过</w:t>
            </w:r>
            <w:r>
              <w:rPr>
                <w:rFonts w:hint="eastAsia"/>
                <w:color w:val="auto"/>
              </w:rPr>
              <w:t>0.059MPa</w:t>
            </w:r>
          </w:p>
          <w:p w14:paraId="5985245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27</w:t>
            </w:r>
            <w:r>
              <w:rPr>
                <w:rFonts w:hint="eastAsia" w:ascii="宋体" w:hAnsi="宋体" w:cs="Times New Roman"/>
                <w:color w:val="auto"/>
              </w:rPr>
              <w:t>、在环境等级为</w:t>
            </w:r>
            <w:r>
              <w:rPr>
                <w:rFonts w:hint="eastAsia"/>
                <w:color w:val="auto"/>
              </w:rPr>
              <w:t>B</w:t>
            </w:r>
            <w:r>
              <w:rPr>
                <w:rFonts w:hint="eastAsia" w:ascii="宋体" w:hAnsi="宋体" w:cs="Times New Roman"/>
                <w:color w:val="auto"/>
              </w:rPr>
              <w:t>级、严酷度等级为</w:t>
            </w:r>
            <w:r>
              <w:rPr>
                <w:rFonts w:hint="eastAsia"/>
                <w:color w:val="auto"/>
              </w:rPr>
              <w:t>3</w:t>
            </w:r>
            <w:r>
              <w:rPr>
                <w:rFonts w:hint="eastAsia" w:ascii="宋体" w:hAnsi="宋体" w:cs="Times New Roman"/>
                <w:color w:val="auto"/>
              </w:rPr>
              <w:t>级、环境温度在</w:t>
            </w:r>
            <w:r>
              <w:rPr>
                <w:rFonts w:hint="eastAsia"/>
                <w:color w:val="auto"/>
              </w:rPr>
              <w:t>(55</w:t>
            </w:r>
            <w:r>
              <w:rPr>
                <w:rFonts w:hint="eastAsia" w:ascii="宋体" w:hAnsi="宋体" w:cs="Times New Roman"/>
                <w:color w:val="auto"/>
              </w:rPr>
              <w:t>±</w:t>
            </w:r>
            <w:r>
              <w:rPr>
                <w:rFonts w:hint="eastAsia"/>
                <w:color w:val="auto"/>
              </w:rPr>
              <w:t>2)</w:t>
            </w:r>
            <w:r>
              <w:rPr>
                <w:rFonts w:hint="eastAsia" w:ascii="宋体" w:hAnsi="宋体" w:cs="Times New Roman"/>
                <w:color w:val="auto"/>
              </w:rPr>
              <w:t>℃的环境下，经过持续</w:t>
            </w:r>
            <w:r>
              <w:rPr>
                <w:rFonts w:hint="eastAsia"/>
                <w:color w:val="auto"/>
              </w:rPr>
              <w:t>2h</w:t>
            </w:r>
            <w:r>
              <w:rPr>
                <w:rFonts w:hint="eastAsia" w:ascii="宋体" w:hAnsi="宋体" w:cs="Times New Roman"/>
                <w:color w:val="auto"/>
              </w:rPr>
              <w:t>循环</w:t>
            </w:r>
            <w:r>
              <w:rPr>
                <w:rFonts w:hint="eastAsia"/>
                <w:color w:val="auto"/>
              </w:rPr>
              <w:t>1</w:t>
            </w:r>
            <w:r>
              <w:rPr>
                <w:rFonts w:hint="eastAsia" w:ascii="宋体" w:hAnsi="宋体" w:cs="Times New Roman"/>
                <w:color w:val="auto"/>
              </w:rPr>
              <w:t>次的高温（无冷凝）试验：</w:t>
            </w:r>
          </w:p>
          <w:p w14:paraId="7CB18F6E">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a)</w:t>
            </w:r>
            <w:r>
              <w:rPr>
                <w:rFonts w:hint="eastAsia" w:cs="Times New Roman"/>
                <w:color w:val="auto"/>
              </w:rPr>
              <w:tab/>
            </w:r>
            <w:r>
              <w:rPr>
                <w:rFonts w:hint="eastAsia" w:ascii="宋体" w:hAnsi="宋体" w:cs="Times New Roman"/>
                <w:color w:val="auto"/>
              </w:rPr>
              <w:t>施加试验条件期间，水表功能检查正常</w:t>
            </w:r>
          </w:p>
          <w:p w14:paraId="2AE8118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b)</w:t>
            </w:r>
            <w:r>
              <w:rPr>
                <w:rFonts w:hint="eastAsia" w:cs="Times New Roman"/>
                <w:color w:val="auto"/>
              </w:rPr>
              <w:tab/>
            </w:r>
            <w:r>
              <w:rPr>
                <w:rFonts w:hint="eastAsia" w:ascii="宋体" w:hAnsi="宋体" w:cs="Times New Roman"/>
                <w:color w:val="auto"/>
              </w:rPr>
              <w:t>机电转换误差不超过±</w:t>
            </w:r>
            <w:r>
              <w:rPr>
                <w:rFonts w:hint="eastAsia"/>
                <w:color w:val="auto"/>
              </w:rPr>
              <w:t>1</w:t>
            </w:r>
            <w:r>
              <w:rPr>
                <w:rFonts w:hint="eastAsia" w:ascii="宋体" w:hAnsi="宋体" w:cs="Times New Roman"/>
                <w:color w:val="auto"/>
              </w:rPr>
              <w:t>个脉冲当量，一个最小转换分度值为</w:t>
            </w:r>
            <w:r>
              <w:rPr>
                <w:rFonts w:hint="eastAsia"/>
                <w:color w:val="auto"/>
              </w:rPr>
              <w:t>-0.0017m</w:t>
            </w:r>
            <w:r>
              <w:rPr>
                <w:rFonts w:hint="eastAsia" w:ascii="宋体" w:hAnsi="宋体" w:cs="Times New Roman"/>
                <w:color w:val="auto"/>
              </w:rPr>
              <w:t>³</w:t>
            </w:r>
          </w:p>
          <w:p w14:paraId="108E0CA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28</w:t>
            </w:r>
            <w:r>
              <w:rPr>
                <w:rFonts w:hint="eastAsia" w:ascii="宋体" w:hAnsi="宋体" w:cs="Times New Roman"/>
                <w:color w:val="auto"/>
              </w:rPr>
              <w:t>、在环境等级为</w:t>
            </w:r>
            <w:r>
              <w:rPr>
                <w:rFonts w:hint="eastAsia"/>
                <w:color w:val="auto"/>
              </w:rPr>
              <w:t>B</w:t>
            </w:r>
            <w:r>
              <w:rPr>
                <w:rFonts w:hint="eastAsia" w:ascii="宋体" w:hAnsi="宋体" w:cs="Times New Roman"/>
                <w:color w:val="auto"/>
              </w:rPr>
              <w:t>级、严酷度等级为</w:t>
            </w:r>
            <w:r>
              <w:rPr>
                <w:rFonts w:hint="eastAsia"/>
                <w:color w:val="auto"/>
              </w:rPr>
              <w:t>1</w:t>
            </w:r>
            <w:r>
              <w:rPr>
                <w:rFonts w:hint="eastAsia" w:ascii="宋体" w:hAnsi="宋体" w:cs="Times New Roman"/>
                <w:color w:val="auto"/>
              </w:rPr>
              <w:t>级、环境温度在</w:t>
            </w:r>
            <w:r>
              <w:rPr>
                <w:rFonts w:hint="eastAsia"/>
                <w:color w:val="auto"/>
              </w:rPr>
              <w:t>(5</w:t>
            </w:r>
            <w:r>
              <w:rPr>
                <w:rFonts w:hint="eastAsia" w:ascii="宋体" w:hAnsi="宋体" w:cs="Times New Roman"/>
                <w:color w:val="auto"/>
              </w:rPr>
              <w:t>±</w:t>
            </w:r>
            <w:r>
              <w:rPr>
                <w:rFonts w:hint="eastAsia"/>
                <w:color w:val="auto"/>
              </w:rPr>
              <w:t>3)</w:t>
            </w:r>
            <w:r>
              <w:rPr>
                <w:rFonts w:hint="eastAsia" w:ascii="宋体" w:hAnsi="宋体" w:cs="Times New Roman"/>
                <w:color w:val="auto"/>
              </w:rPr>
              <w:t>℃的环境下，经过持续</w:t>
            </w:r>
            <w:r>
              <w:rPr>
                <w:rFonts w:hint="eastAsia"/>
                <w:color w:val="auto"/>
              </w:rPr>
              <w:t>2h</w:t>
            </w:r>
            <w:r>
              <w:rPr>
                <w:rFonts w:hint="eastAsia" w:ascii="宋体" w:hAnsi="宋体" w:cs="Times New Roman"/>
                <w:color w:val="auto"/>
              </w:rPr>
              <w:t>循环</w:t>
            </w:r>
            <w:r>
              <w:rPr>
                <w:rFonts w:hint="eastAsia"/>
                <w:color w:val="auto"/>
              </w:rPr>
              <w:t>1</w:t>
            </w:r>
            <w:r>
              <w:rPr>
                <w:rFonts w:hint="eastAsia" w:ascii="宋体" w:hAnsi="宋体" w:cs="Times New Roman"/>
                <w:color w:val="auto"/>
              </w:rPr>
              <w:t>次的低温试验：</w:t>
            </w:r>
          </w:p>
          <w:p w14:paraId="7BE9A90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a)</w:t>
            </w:r>
            <w:r>
              <w:rPr>
                <w:rFonts w:hint="eastAsia" w:cs="Times New Roman"/>
                <w:color w:val="auto"/>
              </w:rPr>
              <w:tab/>
            </w:r>
            <w:r>
              <w:rPr>
                <w:rFonts w:hint="eastAsia" w:ascii="宋体" w:hAnsi="宋体" w:cs="Times New Roman"/>
                <w:color w:val="auto"/>
              </w:rPr>
              <w:t>施加试验条件期间，水表功能检查正常</w:t>
            </w:r>
          </w:p>
        </w:tc>
        <w:tc>
          <w:tcPr>
            <w:tcW w:w="691" w:type="dxa"/>
            <w:tcBorders>
              <w:top w:val="single" w:color="auto" w:sz="4" w:space="0"/>
              <w:left w:val="nil"/>
              <w:bottom w:val="single" w:color="auto" w:sz="4" w:space="0"/>
              <w:right w:val="single" w:color="auto" w:sz="4" w:space="0"/>
            </w:tcBorders>
            <w:vAlign w:val="center"/>
          </w:tcPr>
          <w:p w14:paraId="4039492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ascii="微软雅黑 Light" w:hAnsi="微软雅黑 Light" w:eastAsia="微软雅黑 Light" w:cs="Times New Roman"/>
                <w:color w:val="auto"/>
                <w:spacing w:val="6"/>
              </w:rPr>
              <w:t>只</w:t>
            </w:r>
          </w:p>
        </w:tc>
        <w:tc>
          <w:tcPr>
            <w:tcW w:w="665" w:type="dxa"/>
            <w:tcBorders>
              <w:top w:val="single" w:color="auto" w:sz="4" w:space="0"/>
              <w:left w:val="nil"/>
              <w:bottom w:val="single" w:color="auto" w:sz="4" w:space="0"/>
              <w:right w:val="single" w:color="auto" w:sz="4" w:space="0"/>
            </w:tcBorders>
            <w:vAlign w:val="center"/>
          </w:tcPr>
          <w:p w14:paraId="51121BA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eastAsia="微软雅黑 Light"/>
                <w:color w:val="auto"/>
                <w:spacing w:val="6"/>
              </w:rPr>
              <w:t>7</w:t>
            </w:r>
          </w:p>
        </w:tc>
        <w:tc>
          <w:tcPr>
            <w:tcW w:w="889" w:type="dxa"/>
            <w:tcBorders>
              <w:top w:val="single" w:color="auto" w:sz="4" w:space="0"/>
              <w:left w:val="nil"/>
              <w:bottom w:val="single" w:color="auto" w:sz="4" w:space="0"/>
              <w:right w:val="single" w:color="auto" w:sz="4" w:space="0"/>
            </w:tcBorders>
            <w:vAlign w:val="center"/>
          </w:tcPr>
          <w:p w14:paraId="319CF19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default" w:eastAsia="微软雅黑 Light" w:cs="Times New Roman"/>
                <w:color w:val="auto"/>
                <w:spacing w:val="6"/>
                <w:lang w:val="en-US" w:eastAsia="zh-CN"/>
              </w:rPr>
            </w:pPr>
          </w:p>
        </w:tc>
        <w:tc>
          <w:tcPr>
            <w:tcW w:w="828" w:type="dxa"/>
            <w:tcBorders>
              <w:top w:val="single" w:color="auto" w:sz="4" w:space="0"/>
              <w:left w:val="nil"/>
              <w:bottom w:val="single" w:color="auto" w:sz="4" w:space="0"/>
              <w:right w:val="single" w:color="auto" w:sz="4" w:space="0"/>
            </w:tcBorders>
            <w:vAlign w:val="center"/>
          </w:tcPr>
          <w:p w14:paraId="7498DBF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p>
        </w:tc>
        <w:tc>
          <w:tcPr>
            <w:tcW w:w="1018" w:type="dxa"/>
            <w:tcBorders>
              <w:top w:val="single" w:color="auto" w:sz="4" w:space="0"/>
              <w:left w:val="nil"/>
              <w:bottom w:val="single" w:color="auto" w:sz="4" w:space="0"/>
              <w:right w:val="single" w:color="auto" w:sz="4" w:space="0"/>
            </w:tcBorders>
            <w:vAlign w:val="center"/>
          </w:tcPr>
          <w:p w14:paraId="3157BC5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p>
        </w:tc>
      </w:tr>
      <w:tr w14:paraId="04A97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20AB63C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微软雅黑 Light" w:cs="Times New Roman"/>
                <w:color w:val="auto"/>
                <w:spacing w:val="6"/>
                <w:sz w:val="21"/>
                <w:szCs w:val="22"/>
              </w:rPr>
            </w:pPr>
            <w:r>
              <w:rPr>
                <w:rFonts w:hint="eastAsia" w:eastAsia="微软雅黑 Light"/>
                <w:color w:val="auto"/>
                <w:spacing w:val="6"/>
              </w:rPr>
              <w:t>5</w:t>
            </w:r>
          </w:p>
        </w:tc>
        <w:tc>
          <w:tcPr>
            <w:tcW w:w="1557" w:type="dxa"/>
            <w:tcBorders>
              <w:top w:val="single" w:color="auto" w:sz="4" w:space="0"/>
              <w:left w:val="nil"/>
              <w:bottom w:val="single" w:color="auto" w:sz="4" w:space="0"/>
              <w:right w:val="single" w:color="auto" w:sz="4" w:space="0"/>
            </w:tcBorders>
            <w:vAlign w:val="center"/>
          </w:tcPr>
          <w:p w14:paraId="6B1796E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color w:val="auto"/>
              </w:rPr>
              <w:t>4G</w:t>
            </w:r>
            <w:r>
              <w:rPr>
                <w:rFonts w:hint="eastAsia" w:ascii="宋体" w:hAnsi="宋体" w:cs="Times New Roman"/>
                <w:color w:val="auto"/>
              </w:rPr>
              <w:t>远传水表</w:t>
            </w:r>
            <w:r>
              <w:rPr>
                <w:rFonts w:hint="eastAsia"/>
                <w:color w:val="auto"/>
              </w:rPr>
              <w:t>(DN20)</w:t>
            </w:r>
          </w:p>
        </w:tc>
        <w:tc>
          <w:tcPr>
            <w:tcW w:w="7677" w:type="dxa"/>
            <w:vMerge w:val="continue"/>
            <w:tcBorders>
              <w:top w:val="nil"/>
              <w:left w:val="nil"/>
              <w:bottom w:val="single" w:color="auto" w:sz="4" w:space="0"/>
              <w:right w:val="single" w:color="auto" w:sz="4" w:space="0"/>
            </w:tcBorders>
            <w:vAlign w:val="center"/>
          </w:tcPr>
          <w:p w14:paraId="3321F71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textAlignment w:val="auto"/>
              <w:rPr>
                <w:rFonts w:ascii="Calibri" w:hAnsi="Calibri" w:eastAsia="宋体" w:cs="Times New Roman"/>
                <w:color w:val="auto"/>
                <w:szCs w:val="21"/>
              </w:rPr>
            </w:pPr>
          </w:p>
        </w:tc>
        <w:tc>
          <w:tcPr>
            <w:tcW w:w="691" w:type="dxa"/>
            <w:tcBorders>
              <w:top w:val="single" w:color="auto" w:sz="4" w:space="0"/>
              <w:left w:val="nil"/>
              <w:bottom w:val="single" w:color="auto" w:sz="4" w:space="0"/>
              <w:right w:val="single" w:color="auto" w:sz="4" w:space="0"/>
            </w:tcBorders>
            <w:vAlign w:val="center"/>
          </w:tcPr>
          <w:p w14:paraId="3FDCADC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eastAsia="微软雅黑 Light" w:cs="Times New Roman"/>
                <w:color w:val="auto"/>
                <w:spacing w:val="6"/>
              </w:rPr>
            </w:pPr>
            <w:r>
              <w:rPr>
                <w:rFonts w:hint="eastAsia" w:ascii="宋体" w:hAnsi="宋体" w:cs="Times New Roman"/>
                <w:color w:val="auto"/>
              </w:rPr>
              <w:t>只</w:t>
            </w:r>
          </w:p>
        </w:tc>
        <w:tc>
          <w:tcPr>
            <w:tcW w:w="665" w:type="dxa"/>
            <w:tcBorders>
              <w:top w:val="single" w:color="auto" w:sz="4" w:space="0"/>
              <w:left w:val="nil"/>
              <w:bottom w:val="single" w:color="auto" w:sz="4" w:space="0"/>
              <w:right w:val="single" w:color="auto" w:sz="4" w:space="0"/>
            </w:tcBorders>
            <w:vAlign w:val="center"/>
          </w:tcPr>
          <w:p w14:paraId="206A091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color w:val="auto"/>
              </w:rPr>
              <w:t>2</w:t>
            </w:r>
          </w:p>
        </w:tc>
        <w:tc>
          <w:tcPr>
            <w:tcW w:w="889" w:type="dxa"/>
            <w:tcBorders>
              <w:top w:val="single" w:color="auto" w:sz="4" w:space="0"/>
              <w:left w:val="nil"/>
              <w:bottom w:val="single" w:color="auto" w:sz="4" w:space="0"/>
              <w:right w:val="single" w:color="auto" w:sz="4" w:space="0"/>
            </w:tcBorders>
            <w:vAlign w:val="center"/>
          </w:tcPr>
          <w:p w14:paraId="31AB6D85">
            <w:pPr>
              <w:adjustRightInd w:val="0"/>
              <w:snapToGrid w:val="0"/>
              <w:jc w:val="center"/>
              <w:rPr>
                <w:rFonts w:eastAsia="微软雅黑 Light" w:cs="Times New Roman"/>
                <w:color w:val="auto"/>
                <w:spacing w:val="6"/>
              </w:rPr>
            </w:pPr>
          </w:p>
        </w:tc>
        <w:tc>
          <w:tcPr>
            <w:tcW w:w="828" w:type="dxa"/>
            <w:tcBorders>
              <w:top w:val="single" w:color="auto" w:sz="4" w:space="0"/>
              <w:left w:val="nil"/>
              <w:bottom w:val="single" w:color="auto" w:sz="4" w:space="0"/>
              <w:right w:val="single" w:color="auto" w:sz="4" w:space="0"/>
            </w:tcBorders>
            <w:vAlign w:val="center"/>
          </w:tcPr>
          <w:p w14:paraId="41321BC0">
            <w:pPr>
              <w:adjustRightInd w:val="0"/>
              <w:snapToGrid w:val="0"/>
              <w:jc w:val="center"/>
              <w:rPr>
                <w:rFonts w:eastAsia="微软雅黑 Light" w:cs="Times New Roman"/>
                <w:color w:val="auto"/>
                <w:spacing w:val="6"/>
              </w:rPr>
            </w:pPr>
          </w:p>
        </w:tc>
        <w:tc>
          <w:tcPr>
            <w:tcW w:w="1018" w:type="dxa"/>
            <w:tcBorders>
              <w:top w:val="single" w:color="auto" w:sz="4" w:space="0"/>
              <w:left w:val="nil"/>
              <w:bottom w:val="single" w:color="auto" w:sz="4" w:space="0"/>
              <w:right w:val="single" w:color="auto" w:sz="4" w:space="0"/>
            </w:tcBorders>
            <w:vAlign w:val="center"/>
          </w:tcPr>
          <w:p w14:paraId="7EF66C6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ascii="微软雅黑 Light" w:hAnsi="微软雅黑 Light" w:eastAsia="微软雅黑 Light" w:cs="Times New Roman"/>
                <w:color w:val="auto"/>
                <w:spacing w:val="6"/>
              </w:rPr>
              <w:t>水平安装</w:t>
            </w:r>
          </w:p>
        </w:tc>
      </w:tr>
      <w:tr w14:paraId="038FA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6397290E">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微软雅黑 Light" w:cs="Times New Roman"/>
                <w:color w:val="auto"/>
                <w:spacing w:val="6"/>
                <w:sz w:val="21"/>
                <w:szCs w:val="22"/>
              </w:rPr>
            </w:pPr>
            <w:r>
              <w:rPr>
                <w:rFonts w:hint="eastAsia" w:eastAsia="微软雅黑 Light"/>
                <w:color w:val="auto"/>
                <w:spacing w:val="6"/>
              </w:rPr>
              <w:t>6</w:t>
            </w:r>
          </w:p>
        </w:tc>
        <w:tc>
          <w:tcPr>
            <w:tcW w:w="1557" w:type="dxa"/>
            <w:tcBorders>
              <w:top w:val="single" w:color="auto" w:sz="4" w:space="0"/>
              <w:left w:val="nil"/>
              <w:bottom w:val="single" w:color="auto" w:sz="4" w:space="0"/>
              <w:right w:val="single" w:color="auto" w:sz="4" w:space="0"/>
            </w:tcBorders>
            <w:vAlign w:val="center"/>
          </w:tcPr>
          <w:p w14:paraId="0B26705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宋体" w:cs="Times New Roman"/>
                <w:color w:val="auto"/>
              </w:rPr>
            </w:pPr>
            <w:r>
              <w:rPr>
                <w:rFonts w:hint="eastAsia"/>
                <w:color w:val="auto"/>
              </w:rPr>
              <w:t>4G</w:t>
            </w:r>
            <w:r>
              <w:rPr>
                <w:rFonts w:hint="eastAsia" w:ascii="宋体" w:hAnsi="宋体" w:cs="Times New Roman"/>
                <w:color w:val="auto"/>
              </w:rPr>
              <w:t>远传水表</w:t>
            </w:r>
          </w:p>
          <w:p w14:paraId="2E05B57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ascii="宋体" w:hAnsi="宋体" w:cs="Times New Roman"/>
                <w:color w:val="auto"/>
              </w:rPr>
              <w:t>（</w:t>
            </w:r>
            <w:r>
              <w:rPr>
                <w:rFonts w:hint="eastAsia"/>
                <w:color w:val="auto"/>
              </w:rPr>
              <w:t>DN20</w:t>
            </w:r>
            <w:r>
              <w:rPr>
                <w:rFonts w:hint="eastAsia" w:ascii="宋体" w:hAnsi="宋体" w:cs="Times New Roman"/>
                <w:color w:val="auto"/>
              </w:rPr>
              <w:t>）</w:t>
            </w:r>
          </w:p>
        </w:tc>
        <w:tc>
          <w:tcPr>
            <w:tcW w:w="7677" w:type="dxa"/>
            <w:vMerge w:val="continue"/>
            <w:tcBorders>
              <w:top w:val="nil"/>
              <w:left w:val="nil"/>
              <w:bottom w:val="single" w:color="auto" w:sz="4" w:space="0"/>
              <w:right w:val="single" w:color="auto" w:sz="4" w:space="0"/>
            </w:tcBorders>
            <w:vAlign w:val="center"/>
          </w:tcPr>
          <w:p w14:paraId="5C2522B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textAlignment w:val="auto"/>
              <w:rPr>
                <w:rFonts w:ascii="Calibri" w:hAnsi="Calibri" w:eastAsia="宋体" w:cs="Times New Roman"/>
                <w:color w:val="auto"/>
                <w:szCs w:val="21"/>
              </w:rPr>
            </w:pPr>
          </w:p>
        </w:tc>
        <w:tc>
          <w:tcPr>
            <w:tcW w:w="691" w:type="dxa"/>
            <w:tcBorders>
              <w:top w:val="single" w:color="auto" w:sz="4" w:space="0"/>
              <w:left w:val="nil"/>
              <w:bottom w:val="single" w:color="auto" w:sz="4" w:space="0"/>
              <w:right w:val="single" w:color="auto" w:sz="4" w:space="0"/>
            </w:tcBorders>
            <w:vAlign w:val="center"/>
          </w:tcPr>
          <w:p w14:paraId="55B5140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eastAsia="微软雅黑 Light" w:cs="Times New Roman"/>
                <w:color w:val="auto"/>
                <w:spacing w:val="6"/>
              </w:rPr>
            </w:pPr>
            <w:r>
              <w:rPr>
                <w:rFonts w:hint="eastAsia" w:ascii="宋体" w:hAnsi="宋体" w:cs="Times New Roman"/>
                <w:color w:val="auto"/>
              </w:rPr>
              <w:t>只</w:t>
            </w:r>
          </w:p>
        </w:tc>
        <w:tc>
          <w:tcPr>
            <w:tcW w:w="665" w:type="dxa"/>
            <w:tcBorders>
              <w:top w:val="single" w:color="auto" w:sz="4" w:space="0"/>
              <w:left w:val="nil"/>
              <w:bottom w:val="single" w:color="auto" w:sz="4" w:space="0"/>
              <w:right w:val="single" w:color="auto" w:sz="4" w:space="0"/>
            </w:tcBorders>
            <w:vAlign w:val="center"/>
          </w:tcPr>
          <w:p w14:paraId="4BF3DAF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color w:val="auto"/>
              </w:rPr>
              <w:t>2</w:t>
            </w:r>
          </w:p>
        </w:tc>
        <w:tc>
          <w:tcPr>
            <w:tcW w:w="889" w:type="dxa"/>
            <w:tcBorders>
              <w:top w:val="single" w:color="auto" w:sz="4" w:space="0"/>
              <w:left w:val="nil"/>
              <w:bottom w:val="single" w:color="auto" w:sz="4" w:space="0"/>
              <w:right w:val="single" w:color="auto" w:sz="4" w:space="0"/>
            </w:tcBorders>
            <w:vAlign w:val="center"/>
          </w:tcPr>
          <w:p w14:paraId="60C33977">
            <w:pPr>
              <w:adjustRightInd w:val="0"/>
              <w:snapToGrid w:val="0"/>
              <w:jc w:val="center"/>
              <w:rPr>
                <w:rFonts w:eastAsia="微软雅黑 Light" w:cs="Times New Roman"/>
                <w:color w:val="auto"/>
                <w:spacing w:val="6"/>
              </w:rPr>
            </w:pPr>
          </w:p>
        </w:tc>
        <w:tc>
          <w:tcPr>
            <w:tcW w:w="828" w:type="dxa"/>
            <w:tcBorders>
              <w:top w:val="single" w:color="auto" w:sz="4" w:space="0"/>
              <w:left w:val="nil"/>
              <w:bottom w:val="single" w:color="auto" w:sz="4" w:space="0"/>
              <w:right w:val="single" w:color="auto" w:sz="4" w:space="0"/>
            </w:tcBorders>
            <w:vAlign w:val="center"/>
          </w:tcPr>
          <w:p w14:paraId="68B75BBC">
            <w:pPr>
              <w:adjustRightInd w:val="0"/>
              <w:snapToGrid w:val="0"/>
              <w:jc w:val="center"/>
              <w:rPr>
                <w:rFonts w:eastAsia="微软雅黑 Light" w:cs="Times New Roman"/>
                <w:color w:val="auto"/>
                <w:spacing w:val="6"/>
              </w:rPr>
            </w:pPr>
          </w:p>
        </w:tc>
        <w:tc>
          <w:tcPr>
            <w:tcW w:w="1018" w:type="dxa"/>
            <w:tcBorders>
              <w:top w:val="single" w:color="auto" w:sz="4" w:space="0"/>
              <w:left w:val="nil"/>
              <w:bottom w:val="single" w:color="auto" w:sz="4" w:space="0"/>
              <w:right w:val="single" w:color="auto" w:sz="4" w:space="0"/>
            </w:tcBorders>
            <w:vAlign w:val="center"/>
          </w:tcPr>
          <w:p w14:paraId="2B9DD73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ascii="微软雅黑 Light" w:hAnsi="微软雅黑 Light" w:eastAsia="微软雅黑 Light" w:cs="Times New Roman"/>
                <w:color w:val="auto"/>
                <w:spacing w:val="6"/>
              </w:rPr>
              <w:t>垂直安装</w:t>
            </w:r>
          </w:p>
        </w:tc>
      </w:tr>
      <w:tr w14:paraId="64C1A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0C802D0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微软雅黑 Light" w:cs="Times New Roman"/>
                <w:color w:val="auto"/>
                <w:spacing w:val="6"/>
                <w:sz w:val="21"/>
                <w:szCs w:val="22"/>
              </w:rPr>
            </w:pPr>
            <w:r>
              <w:rPr>
                <w:rFonts w:hint="eastAsia" w:eastAsia="微软雅黑 Light"/>
                <w:color w:val="auto"/>
                <w:spacing w:val="6"/>
              </w:rPr>
              <w:t>7</w:t>
            </w:r>
          </w:p>
        </w:tc>
        <w:tc>
          <w:tcPr>
            <w:tcW w:w="1557" w:type="dxa"/>
            <w:tcBorders>
              <w:top w:val="single" w:color="auto" w:sz="4" w:space="0"/>
              <w:left w:val="nil"/>
              <w:bottom w:val="single" w:color="auto" w:sz="4" w:space="0"/>
              <w:right w:val="single" w:color="auto" w:sz="4" w:space="0"/>
            </w:tcBorders>
            <w:vAlign w:val="center"/>
          </w:tcPr>
          <w:p w14:paraId="09EE8FD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宋体" w:cs="Times New Roman"/>
                <w:color w:val="auto"/>
              </w:rPr>
            </w:pPr>
            <w:r>
              <w:rPr>
                <w:rFonts w:hint="eastAsia"/>
                <w:color w:val="auto"/>
              </w:rPr>
              <w:t>4G</w:t>
            </w:r>
            <w:r>
              <w:rPr>
                <w:rFonts w:hint="eastAsia" w:ascii="宋体" w:hAnsi="宋体" w:cs="Times New Roman"/>
                <w:color w:val="auto"/>
              </w:rPr>
              <w:t>远传水表</w:t>
            </w:r>
          </w:p>
          <w:p w14:paraId="4E99E08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ascii="宋体" w:hAnsi="宋体" w:cs="Times New Roman"/>
                <w:color w:val="auto"/>
              </w:rPr>
              <w:t>（</w:t>
            </w:r>
            <w:r>
              <w:rPr>
                <w:rFonts w:hint="eastAsia"/>
                <w:color w:val="auto"/>
              </w:rPr>
              <w:t>DN25</w:t>
            </w:r>
            <w:r>
              <w:rPr>
                <w:rFonts w:hint="eastAsia" w:ascii="宋体" w:hAnsi="宋体" w:cs="Times New Roman"/>
                <w:color w:val="auto"/>
              </w:rPr>
              <w:t>）</w:t>
            </w:r>
          </w:p>
        </w:tc>
        <w:tc>
          <w:tcPr>
            <w:tcW w:w="7677" w:type="dxa"/>
            <w:vMerge w:val="continue"/>
            <w:tcBorders>
              <w:top w:val="nil"/>
              <w:left w:val="nil"/>
              <w:bottom w:val="single" w:color="auto" w:sz="4" w:space="0"/>
              <w:right w:val="single" w:color="auto" w:sz="4" w:space="0"/>
            </w:tcBorders>
            <w:vAlign w:val="center"/>
          </w:tcPr>
          <w:p w14:paraId="4745E3F7">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textAlignment w:val="auto"/>
              <w:rPr>
                <w:rFonts w:ascii="Calibri" w:hAnsi="Calibri" w:eastAsia="宋体" w:cs="Times New Roman"/>
                <w:color w:val="auto"/>
                <w:szCs w:val="21"/>
              </w:rPr>
            </w:pPr>
          </w:p>
        </w:tc>
        <w:tc>
          <w:tcPr>
            <w:tcW w:w="691" w:type="dxa"/>
            <w:tcBorders>
              <w:top w:val="single" w:color="auto" w:sz="4" w:space="0"/>
              <w:left w:val="nil"/>
              <w:bottom w:val="single" w:color="auto" w:sz="4" w:space="0"/>
              <w:right w:val="single" w:color="auto" w:sz="4" w:space="0"/>
            </w:tcBorders>
            <w:vAlign w:val="center"/>
          </w:tcPr>
          <w:p w14:paraId="7A5CC65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eastAsia="微软雅黑 Light" w:cs="Times New Roman"/>
                <w:color w:val="auto"/>
                <w:spacing w:val="6"/>
              </w:rPr>
            </w:pPr>
            <w:r>
              <w:rPr>
                <w:rFonts w:hint="eastAsia" w:ascii="宋体" w:hAnsi="宋体" w:cs="Times New Roman"/>
                <w:color w:val="auto"/>
              </w:rPr>
              <w:t>只</w:t>
            </w:r>
          </w:p>
        </w:tc>
        <w:tc>
          <w:tcPr>
            <w:tcW w:w="665" w:type="dxa"/>
            <w:tcBorders>
              <w:top w:val="single" w:color="auto" w:sz="4" w:space="0"/>
              <w:left w:val="nil"/>
              <w:bottom w:val="single" w:color="auto" w:sz="4" w:space="0"/>
              <w:right w:val="single" w:color="auto" w:sz="4" w:space="0"/>
            </w:tcBorders>
            <w:vAlign w:val="center"/>
          </w:tcPr>
          <w:p w14:paraId="31BA24D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color w:val="auto"/>
              </w:rPr>
              <w:t>4</w:t>
            </w:r>
          </w:p>
        </w:tc>
        <w:tc>
          <w:tcPr>
            <w:tcW w:w="889" w:type="dxa"/>
            <w:tcBorders>
              <w:top w:val="single" w:color="auto" w:sz="4" w:space="0"/>
              <w:left w:val="nil"/>
              <w:bottom w:val="single" w:color="auto" w:sz="4" w:space="0"/>
              <w:right w:val="single" w:color="auto" w:sz="4" w:space="0"/>
            </w:tcBorders>
            <w:vAlign w:val="center"/>
          </w:tcPr>
          <w:p w14:paraId="25CA49C2">
            <w:pPr>
              <w:adjustRightInd w:val="0"/>
              <w:snapToGrid w:val="0"/>
              <w:jc w:val="center"/>
              <w:rPr>
                <w:rFonts w:eastAsia="微软雅黑 Light" w:cs="Times New Roman"/>
                <w:color w:val="auto"/>
                <w:spacing w:val="6"/>
              </w:rPr>
            </w:pPr>
          </w:p>
        </w:tc>
        <w:tc>
          <w:tcPr>
            <w:tcW w:w="828" w:type="dxa"/>
            <w:tcBorders>
              <w:top w:val="single" w:color="auto" w:sz="4" w:space="0"/>
              <w:left w:val="nil"/>
              <w:bottom w:val="single" w:color="auto" w:sz="4" w:space="0"/>
              <w:right w:val="single" w:color="auto" w:sz="4" w:space="0"/>
            </w:tcBorders>
            <w:vAlign w:val="center"/>
          </w:tcPr>
          <w:p w14:paraId="330E1A0C">
            <w:pPr>
              <w:adjustRightInd w:val="0"/>
              <w:snapToGrid w:val="0"/>
              <w:jc w:val="center"/>
              <w:rPr>
                <w:rFonts w:eastAsia="微软雅黑 Light" w:cs="Times New Roman"/>
                <w:color w:val="auto"/>
                <w:spacing w:val="6"/>
              </w:rPr>
            </w:pPr>
          </w:p>
        </w:tc>
        <w:tc>
          <w:tcPr>
            <w:tcW w:w="1018" w:type="dxa"/>
            <w:tcBorders>
              <w:top w:val="single" w:color="auto" w:sz="4" w:space="0"/>
              <w:left w:val="nil"/>
              <w:bottom w:val="single" w:color="auto" w:sz="4" w:space="0"/>
              <w:right w:val="single" w:color="auto" w:sz="4" w:space="0"/>
            </w:tcBorders>
            <w:vAlign w:val="center"/>
          </w:tcPr>
          <w:p w14:paraId="2B25F717">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p>
        </w:tc>
      </w:tr>
      <w:tr w14:paraId="72DCF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2B838A3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ascii="Times New Roman" w:hAnsi="Times New Roman" w:eastAsia="微软雅黑 Light" w:cs="Times New Roman"/>
                <w:color w:val="auto"/>
                <w:spacing w:val="6"/>
                <w:sz w:val="21"/>
                <w:szCs w:val="22"/>
              </w:rPr>
            </w:pPr>
            <w:r>
              <w:rPr>
                <w:rFonts w:hint="eastAsia" w:eastAsia="微软雅黑 Light"/>
                <w:color w:val="auto"/>
                <w:spacing w:val="6"/>
              </w:rPr>
              <w:t>8</w:t>
            </w:r>
          </w:p>
        </w:tc>
        <w:tc>
          <w:tcPr>
            <w:tcW w:w="1557" w:type="dxa"/>
            <w:tcBorders>
              <w:top w:val="single" w:color="auto" w:sz="4" w:space="0"/>
              <w:left w:val="nil"/>
              <w:bottom w:val="single" w:color="auto" w:sz="4" w:space="0"/>
              <w:right w:val="single" w:color="auto" w:sz="4" w:space="0"/>
            </w:tcBorders>
            <w:vAlign w:val="center"/>
          </w:tcPr>
          <w:p w14:paraId="0255C92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宋体" w:cs="Times New Roman"/>
                <w:color w:val="auto"/>
              </w:rPr>
            </w:pPr>
            <w:r>
              <w:rPr>
                <w:rFonts w:hint="eastAsia"/>
                <w:color w:val="auto"/>
              </w:rPr>
              <w:t>4G</w:t>
            </w:r>
            <w:r>
              <w:rPr>
                <w:rFonts w:hint="eastAsia" w:ascii="宋体" w:hAnsi="宋体" w:cs="Times New Roman"/>
                <w:color w:val="auto"/>
              </w:rPr>
              <w:t>远传水表</w:t>
            </w:r>
          </w:p>
          <w:p w14:paraId="081F249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ascii="微软雅黑 Light" w:hAnsi="微软雅黑 Light" w:eastAsia="微软雅黑 Light" w:cs="Times New Roman"/>
                <w:color w:val="auto"/>
                <w:spacing w:val="6"/>
              </w:rPr>
              <w:t>（</w:t>
            </w:r>
            <w:r>
              <w:rPr>
                <w:rFonts w:hint="eastAsia" w:eastAsia="微软雅黑 Light"/>
                <w:color w:val="auto"/>
                <w:spacing w:val="6"/>
              </w:rPr>
              <w:t>DN32</w:t>
            </w:r>
            <w:r>
              <w:rPr>
                <w:rFonts w:hint="eastAsia" w:ascii="微软雅黑 Light" w:hAnsi="微软雅黑 Light" w:eastAsia="微软雅黑 Light" w:cs="Times New Roman"/>
                <w:color w:val="auto"/>
                <w:spacing w:val="6"/>
              </w:rPr>
              <w:t>）</w:t>
            </w:r>
          </w:p>
        </w:tc>
        <w:tc>
          <w:tcPr>
            <w:tcW w:w="7677" w:type="dxa"/>
            <w:vMerge w:val="continue"/>
            <w:tcBorders>
              <w:top w:val="nil"/>
              <w:left w:val="nil"/>
              <w:bottom w:val="single" w:color="auto" w:sz="4" w:space="0"/>
              <w:right w:val="single" w:color="auto" w:sz="4" w:space="0"/>
            </w:tcBorders>
            <w:vAlign w:val="center"/>
          </w:tcPr>
          <w:p w14:paraId="77C61CC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textAlignment w:val="auto"/>
              <w:rPr>
                <w:rFonts w:ascii="Calibri" w:hAnsi="Calibri" w:eastAsia="宋体" w:cs="Times New Roman"/>
                <w:color w:val="auto"/>
                <w:szCs w:val="21"/>
              </w:rPr>
            </w:pPr>
          </w:p>
        </w:tc>
        <w:tc>
          <w:tcPr>
            <w:tcW w:w="691" w:type="dxa"/>
            <w:tcBorders>
              <w:top w:val="single" w:color="auto" w:sz="4" w:space="0"/>
              <w:left w:val="nil"/>
              <w:bottom w:val="single" w:color="auto" w:sz="4" w:space="0"/>
              <w:right w:val="single" w:color="auto" w:sz="4" w:space="0"/>
            </w:tcBorders>
            <w:vAlign w:val="center"/>
          </w:tcPr>
          <w:p w14:paraId="3DBA44C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eastAsia="微软雅黑 Light" w:cs="Times New Roman"/>
                <w:color w:val="auto"/>
                <w:spacing w:val="6"/>
              </w:rPr>
            </w:pPr>
            <w:r>
              <w:rPr>
                <w:rFonts w:hint="eastAsia" w:ascii="宋体" w:hAnsi="宋体" w:cs="Times New Roman"/>
                <w:color w:val="auto"/>
              </w:rPr>
              <w:t>只</w:t>
            </w:r>
          </w:p>
        </w:tc>
        <w:tc>
          <w:tcPr>
            <w:tcW w:w="665" w:type="dxa"/>
            <w:tcBorders>
              <w:top w:val="single" w:color="auto" w:sz="4" w:space="0"/>
              <w:left w:val="nil"/>
              <w:bottom w:val="single" w:color="auto" w:sz="4" w:space="0"/>
              <w:right w:val="single" w:color="auto" w:sz="4" w:space="0"/>
            </w:tcBorders>
            <w:vAlign w:val="center"/>
          </w:tcPr>
          <w:p w14:paraId="17ECAA1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r>
              <w:rPr>
                <w:rFonts w:hint="eastAsia"/>
                <w:color w:val="auto"/>
              </w:rPr>
              <w:t>93</w:t>
            </w:r>
          </w:p>
        </w:tc>
        <w:tc>
          <w:tcPr>
            <w:tcW w:w="889" w:type="dxa"/>
            <w:tcBorders>
              <w:top w:val="single" w:color="auto" w:sz="4" w:space="0"/>
              <w:left w:val="nil"/>
              <w:bottom w:val="single" w:color="auto" w:sz="4" w:space="0"/>
              <w:right w:val="single" w:color="auto" w:sz="4" w:space="0"/>
            </w:tcBorders>
            <w:vAlign w:val="center"/>
          </w:tcPr>
          <w:p w14:paraId="47B2EBAC">
            <w:pPr>
              <w:adjustRightInd w:val="0"/>
              <w:snapToGrid w:val="0"/>
              <w:jc w:val="center"/>
              <w:rPr>
                <w:rFonts w:eastAsia="微软雅黑 Light" w:cs="Times New Roman"/>
                <w:color w:val="auto"/>
                <w:spacing w:val="6"/>
              </w:rPr>
            </w:pPr>
          </w:p>
        </w:tc>
        <w:tc>
          <w:tcPr>
            <w:tcW w:w="828" w:type="dxa"/>
            <w:tcBorders>
              <w:top w:val="single" w:color="auto" w:sz="4" w:space="0"/>
              <w:left w:val="nil"/>
              <w:bottom w:val="single" w:color="auto" w:sz="4" w:space="0"/>
              <w:right w:val="single" w:color="auto" w:sz="4" w:space="0"/>
            </w:tcBorders>
            <w:vAlign w:val="center"/>
          </w:tcPr>
          <w:p w14:paraId="14637CE7">
            <w:pPr>
              <w:adjustRightInd w:val="0"/>
              <w:snapToGrid w:val="0"/>
              <w:jc w:val="center"/>
              <w:rPr>
                <w:rFonts w:eastAsia="微软雅黑 Light" w:cs="Times New Roman"/>
                <w:color w:val="auto"/>
                <w:spacing w:val="6"/>
              </w:rPr>
            </w:pPr>
          </w:p>
        </w:tc>
        <w:tc>
          <w:tcPr>
            <w:tcW w:w="1018" w:type="dxa"/>
            <w:tcBorders>
              <w:top w:val="single" w:color="auto" w:sz="4" w:space="0"/>
              <w:left w:val="nil"/>
              <w:bottom w:val="single" w:color="auto" w:sz="4" w:space="0"/>
              <w:right w:val="single" w:color="auto" w:sz="4" w:space="0"/>
            </w:tcBorders>
            <w:vAlign w:val="center"/>
          </w:tcPr>
          <w:p w14:paraId="4A068365">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p>
        </w:tc>
      </w:tr>
      <w:tr w14:paraId="122A4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4784DC87">
            <w:pPr>
              <w:pageBreakBefore w:val="0"/>
              <w:kinsoku/>
              <w:wordWrap/>
              <w:overflowPunct/>
              <w:topLinePunct w:val="0"/>
              <w:autoSpaceDE/>
              <w:autoSpaceDN/>
              <w:bidi w:val="0"/>
              <w:adjustRightInd w:val="0"/>
              <w:snapToGrid w:val="0"/>
              <w:spacing w:beforeAutospacing="0" w:afterAutospacing="0" w:line="240" w:lineRule="auto"/>
              <w:jc w:val="center"/>
              <w:rPr>
                <w:rFonts w:ascii="Times New Roman" w:hAnsi="Times New Roman" w:eastAsia="微软雅黑 Light" w:cs="Times New Roman"/>
                <w:color w:val="auto"/>
                <w:spacing w:val="6"/>
                <w:sz w:val="21"/>
                <w:szCs w:val="22"/>
              </w:rPr>
            </w:pPr>
            <w:r>
              <w:rPr>
                <w:rFonts w:hint="eastAsia" w:eastAsia="微软雅黑 Light"/>
                <w:color w:val="auto"/>
                <w:spacing w:val="6"/>
              </w:rPr>
              <w:t>9</w:t>
            </w:r>
          </w:p>
        </w:tc>
        <w:tc>
          <w:tcPr>
            <w:tcW w:w="1557" w:type="dxa"/>
            <w:tcBorders>
              <w:top w:val="single" w:color="auto" w:sz="4" w:space="0"/>
              <w:left w:val="nil"/>
              <w:bottom w:val="single" w:color="auto" w:sz="4" w:space="0"/>
              <w:right w:val="single" w:color="auto" w:sz="4" w:space="0"/>
            </w:tcBorders>
            <w:vAlign w:val="center"/>
          </w:tcPr>
          <w:p w14:paraId="044A0DD9">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宋体" w:cs="Times New Roman"/>
                <w:color w:val="auto"/>
              </w:rPr>
            </w:pPr>
            <w:r>
              <w:rPr>
                <w:rFonts w:hint="eastAsia"/>
                <w:color w:val="auto"/>
              </w:rPr>
              <w:t>4G</w:t>
            </w:r>
            <w:r>
              <w:rPr>
                <w:rFonts w:hint="eastAsia" w:ascii="宋体" w:hAnsi="宋体" w:cs="Times New Roman"/>
                <w:color w:val="auto"/>
              </w:rPr>
              <w:t>远传水表</w:t>
            </w:r>
          </w:p>
          <w:p w14:paraId="0A9261A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cs="Times New Roman"/>
                <w:color w:val="auto"/>
              </w:rPr>
            </w:pPr>
            <w:r>
              <w:rPr>
                <w:rFonts w:hint="eastAsia" w:ascii="宋体" w:hAnsi="宋体" w:cs="Times New Roman"/>
                <w:color w:val="auto"/>
              </w:rPr>
              <w:t>（</w:t>
            </w:r>
            <w:r>
              <w:rPr>
                <w:rFonts w:hint="eastAsia"/>
                <w:color w:val="auto"/>
              </w:rPr>
              <w:t>DN40</w:t>
            </w:r>
            <w:r>
              <w:rPr>
                <w:rFonts w:hint="eastAsia" w:ascii="宋体" w:hAnsi="宋体" w:cs="Times New Roman"/>
                <w:color w:val="auto"/>
              </w:rPr>
              <w:t>）</w:t>
            </w:r>
          </w:p>
        </w:tc>
        <w:tc>
          <w:tcPr>
            <w:tcW w:w="7677" w:type="dxa"/>
            <w:vMerge w:val="continue"/>
            <w:tcBorders>
              <w:top w:val="nil"/>
              <w:left w:val="nil"/>
              <w:bottom w:val="single" w:color="auto" w:sz="4" w:space="0"/>
              <w:right w:val="single" w:color="auto" w:sz="4" w:space="0"/>
            </w:tcBorders>
            <w:vAlign w:val="center"/>
          </w:tcPr>
          <w:p w14:paraId="681C236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textAlignment w:val="auto"/>
              <w:rPr>
                <w:rFonts w:ascii="Calibri" w:hAnsi="Calibri" w:eastAsia="宋体" w:cs="Times New Roman"/>
                <w:color w:val="auto"/>
                <w:szCs w:val="21"/>
              </w:rPr>
            </w:pPr>
          </w:p>
        </w:tc>
        <w:tc>
          <w:tcPr>
            <w:tcW w:w="691" w:type="dxa"/>
            <w:tcBorders>
              <w:top w:val="single" w:color="auto" w:sz="4" w:space="0"/>
              <w:left w:val="nil"/>
              <w:bottom w:val="single" w:color="auto" w:sz="4" w:space="0"/>
              <w:right w:val="single" w:color="auto" w:sz="4" w:space="0"/>
            </w:tcBorders>
            <w:vAlign w:val="center"/>
          </w:tcPr>
          <w:p w14:paraId="49BFF8E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cs="Times New Roman"/>
                <w:color w:val="auto"/>
              </w:rPr>
            </w:pPr>
            <w:r>
              <w:rPr>
                <w:rFonts w:hint="eastAsia" w:ascii="宋体" w:hAnsi="宋体" w:cs="Times New Roman"/>
                <w:color w:val="auto"/>
              </w:rPr>
              <w:t>只</w:t>
            </w:r>
          </w:p>
        </w:tc>
        <w:tc>
          <w:tcPr>
            <w:tcW w:w="665" w:type="dxa"/>
            <w:tcBorders>
              <w:top w:val="single" w:color="auto" w:sz="4" w:space="0"/>
              <w:left w:val="nil"/>
              <w:bottom w:val="single" w:color="auto" w:sz="4" w:space="0"/>
              <w:right w:val="single" w:color="auto" w:sz="4" w:space="0"/>
            </w:tcBorders>
            <w:vAlign w:val="center"/>
          </w:tcPr>
          <w:p w14:paraId="78160B5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cs="Times New Roman"/>
                <w:color w:val="auto"/>
              </w:rPr>
            </w:pPr>
            <w:r>
              <w:rPr>
                <w:rFonts w:hint="eastAsia"/>
                <w:color w:val="auto"/>
              </w:rPr>
              <w:t>1</w:t>
            </w:r>
          </w:p>
        </w:tc>
        <w:tc>
          <w:tcPr>
            <w:tcW w:w="889" w:type="dxa"/>
            <w:tcBorders>
              <w:top w:val="single" w:color="auto" w:sz="4" w:space="0"/>
              <w:left w:val="nil"/>
              <w:bottom w:val="single" w:color="auto" w:sz="4" w:space="0"/>
              <w:right w:val="single" w:color="auto" w:sz="4" w:space="0"/>
            </w:tcBorders>
            <w:vAlign w:val="center"/>
          </w:tcPr>
          <w:p w14:paraId="0F8A81C5">
            <w:pPr>
              <w:adjustRightInd w:val="0"/>
              <w:snapToGrid w:val="0"/>
              <w:jc w:val="center"/>
              <w:rPr>
                <w:rFonts w:eastAsia="微软雅黑 Light" w:cs="Times New Roman"/>
                <w:color w:val="auto"/>
                <w:spacing w:val="6"/>
              </w:rPr>
            </w:pPr>
          </w:p>
        </w:tc>
        <w:tc>
          <w:tcPr>
            <w:tcW w:w="828" w:type="dxa"/>
            <w:tcBorders>
              <w:top w:val="single" w:color="auto" w:sz="4" w:space="0"/>
              <w:left w:val="nil"/>
              <w:bottom w:val="single" w:color="auto" w:sz="4" w:space="0"/>
              <w:right w:val="single" w:color="auto" w:sz="4" w:space="0"/>
            </w:tcBorders>
            <w:vAlign w:val="center"/>
          </w:tcPr>
          <w:p w14:paraId="5A5F072E">
            <w:pPr>
              <w:adjustRightInd w:val="0"/>
              <w:snapToGrid w:val="0"/>
              <w:jc w:val="center"/>
              <w:rPr>
                <w:rFonts w:eastAsia="微软雅黑 Light" w:cs="Times New Roman"/>
                <w:color w:val="auto"/>
                <w:spacing w:val="6"/>
              </w:rPr>
            </w:pPr>
          </w:p>
        </w:tc>
        <w:tc>
          <w:tcPr>
            <w:tcW w:w="1018" w:type="dxa"/>
            <w:tcBorders>
              <w:top w:val="single" w:color="auto" w:sz="4" w:space="0"/>
              <w:left w:val="nil"/>
              <w:bottom w:val="single" w:color="auto" w:sz="4" w:space="0"/>
              <w:right w:val="single" w:color="auto" w:sz="4" w:space="0"/>
            </w:tcBorders>
            <w:vAlign w:val="center"/>
          </w:tcPr>
          <w:p w14:paraId="382F071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微软雅黑 Light" w:cs="Times New Roman"/>
                <w:color w:val="auto"/>
                <w:spacing w:val="6"/>
              </w:rPr>
            </w:pPr>
          </w:p>
        </w:tc>
      </w:tr>
      <w:tr w14:paraId="2A86F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0A91963D">
            <w:pPr>
              <w:pageBreakBefore w:val="0"/>
              <w:kinsoku/>
              <w:wordWrap/>
              <w:overflowPunct/>
              <w:topLinePunct w:val="0"/>
              <w:autoSpaceDE/>
              <w:autoSpaceDN/>
              <w:bidi w:val="0"/>
              <w:adjustRightInd w:val="0"/>
              <w:snapToGrid w:val="0"/>
              <w:spacing w:beforeAutospacing="0" w:afterAutospacing="0" w:line="240" w:lineRule="auto"/>
              <w:jc w:val="center"/>
              <w:rPr>
                <w:rFonts w:ascii="Times New Roman" w:hAnsi="Times New Roman" w:eastAsia="微软雅黑 Light" w:cs="Times New Roman"/>
                <w:color w:val="auto"/>
                <w:spacing w:val="6"/>
                <w:sz w:val="21"/>
                <w:szCs w:val="22"/>
              </w:rPr>
            </w:pPr>
            <w:r>
              <w:rPr>
                <w:rFonts w:hint="eastAsia" w:eastAsia="微软雅黑 Light"/>
                <w:color w:val="auto"/>
                <w:spacing w:val="6"/>
              </w:rPr>
              <w:t>10</w:t>
            </w:r>
          </w:p>
        </w:tc>
        <w:tc>
          <w:tcPr>
            <w:tcW w:w="1557" w:type="dxa"/>
            <w:tcBorders>
              <w:top w:val="single" w:color="auto" w:sz="4" w:space="0"/>
              <w:left w:val="nil"/>
              <w:bottom w:val="single" w:color="auto" w:sz="4" w:space="0"/>
              <w:right w:val="single" w:color="auto" w:sz="4" w:space="0"/>
            </w:tcBorders>
            <w:vAlign w:val="center"/>
          </w:tcPr>
          <w:p w14:paraId="40CFFF13">
            <w:pPr>
              <w:pageBreakBefore w:val="0"/>
              <w:kinsoku/>
              <w:wordWrap/>
              <w:overflowPunct/>
              <w:topLinePunct w:val="0"/>
              <w:autoSpaceDE/>
              <w:autoSpaceDN/>
              <w:bidi w:val="0"/>
              <w:adjustRightInd w:val="0"/>
              <w:snapToGrid w:val="0"/>
              <w:spacing w:beforeAutospacing="0" w:afterAutospacing="0" w:line="240" w:lineRule="auto"/>
              <w:jc w:val="center"/>
              <w:rPr>
                <w:rFonts w:eastAsia="宋体" w:cs="Times New Roman"/>
                <w:color w:val="auto"/>
              </w:rPr>
            </w:pPr>
            <w:r>
              <w:rPr>
                <w:rFonts w:hint="eastAsia"/>
                <w:color w:val="auto"/>
              </w:rPr>
              <w:t>4G</w:t>
            </w:r>
            <w:r>
              <w:rPr>
                <w:rFonts w:hint="eastAsia" w:ascii="宋体" w:hAnsi="宋体" w:cs="Times New Roman"/>
                <w:color w:val="auto"/>
              </w:rPr>
              <w:t>远传水表</w:t>
            </w:r>
          </w:p>
          <w:p w14:paraId="26BB2077">
            <w:pPr>
              <w:pageBreakBefore w:val="0"/>
              <w:kinsoku/>
              <w:wordWrap/>
              <w:overflowPunct/>
              <w:topLinePunct w:val="0"/>
              <w:autoSpaceDE/>
              <w:autoSpaceDN/>
              <w:bidi w:val="0"/>
              <w:adjustRightInd w:val="0"/>
              <w:snapToGrid w:val="0"/>
              <w:spacing w:beforeAutospacing="0" w:afterAutospacing="0" w:line="240" w:lineRule="auto"/>
              <w:jc w:val="center"/>
              <w:rPr>
                <w:rFonts w:cs="Times New Roman"/>
                <w:color w:val="auto"/>
              </w:rPr>
            </w:pPr>
            <w:r>
              <w:rPr>
                <w:rFonts w:hint="eastAsia" w:ascii="宋体" w:hAnsi="宋体" w:cs="Times New Roman"/>
                <w:color w:val="auto"/>
              </w:rPr>
              <w:t>（</w:t>
            </w:r>
            <w:r>
              <w:rPr>
                <w:rFonts w:hint="eastAsia"/>
                <w:color w:val="auto"/>
              </w:rPr>
              <w:t>DN50</w:t>
            </w:r>
            <w:r>
              <w:rPr>
                <w:rFonts w:hint="eastAsia" w:ascii="宋体" w:hAnsi="宋体" w:cs="Times New Roman"/>
                <w:color w:val="auto"/>
              </w:rPr>
              <w:t>）</w:t>
            </w:r>
          </w:p>
        </w:tc>
        <w:tc>
          <w:tcPr>
            <w:tcW w:w="7677" w:type="dxa"/>
            <w:vMerge w:val="continue"/>
            <w:tcBorders>
              <w:top w:val="nil"/>
              <w:left w:val="nil"/>
              <w:bottom w:val="single" w:color="auto" w:sz="4" w:space="0"/>
              <w:right w:val="single" w:color="auto" w:sz="4" w:space="0"/>
            </w:tcBorders>
            <w:vAlign w:val="center"/>
          </w:tcPr>
          <w:p w14:paraId="50B1DDB3">
            <w:pPr>
              <w:pageBreakBefore w:val="0"/>
              <w:kinsoku/>
              <w:wordWrap/>
              <w:overflowPunct/>
              <w:topLinePunct w:val="0"/>
              <w:autoSpaceDE/>
              <w:autoSpaceDN/>
              <w:bidi w:val="0"/>
              <w:adjustRightInd w:val="0"/>
              <w:snapToGrid w:val="0"/>
              <w:spacing w:beforeAutospacing="0" w:afterAutospacing="0" w:line="240" w:lineRule="auto"/>
              <w:rPr>
                <w:rFonts w:ascii="Calibri" w:hAnsi="Calibri" w:eastAsia="宋体" w:cs="Times New Roman"/>
                <w:color w:val="auto"/>
                <w:szCs w:val="21"/>
              </w:rPr>
            </w:pPr>
          </w:p>
        </w:tc>
        <w:tc>
          <w:tcPr>
            <w:tcW w:w="691" w:type="dxa"/>
            <w:tcBorders>
              <w:top w:val="single" w:color="auto" w:sz="4" w:space="0"/>
              <w:left w:val="nil"/>
              <w:bottom w:val="single" w:color="auto" w:sz="4" w:space="0"/>
              <w:right w:val="single" w:color="auto" w:sz="4" w:space="0"/>
            </w:tcBorders>
            <w:vAlign w:val="center"/>
          </w:tcPr>
          <w:p w14:paraId="0FFD36C2">
            <w:pPr>
              <w:pageBreakBefore w:val="0"/>
              <w:kinsoku/>
              <w:wordWrap/>
              <w:overflowPunct/>
              <w:topLinePunct w:val="0"/>
              <w:autoSpaceDE/>
              <w:autoSpaceDN/>
              <w:bidi w:val="0"/>
              <w:adjustRightInd w:val="0"/>
              <w:snapToGrid w:val="0"/>
              <w:spacing w:beforeAutospacing="0" w:afterAutospacing="0" w:line="240" w:lineRule="auto"/>
              <w:jc w:val="center"/>
              <w:rPr>
                <w:rFonts w:hint="eastAsia" w:cs="Times New Roman"/>
                <w:color w:val="auto"/>
              </w:rPr>
            </w:pPr>
            <w:r>
              <w:rPr>
                <w:rFonts w:hint="eastAsia" w:ascii="宋体" w:hAnsi="宋体" w:cs="Times New Roman"/>
                <w:color w:val="auto"/>
              </w:rPr>
              <w:t>只</w:t>
            </w:r>
          </w:p>
        </w:tc>
        <w:tc>
          <w:tcPr>
            <w:tcW w:w="665" w:type="dxa"/>
            <w:tcBorders>
              <w:top w:val="single" w:color="auto" w:sz="4" w:space="0"/>
              <w:left w:val="nil"/>
              <w:bottom w:val="single" w:color="auto" w:sz="4" w:space="0"/>
              <w:right w:val="single" w:color="auto" w:sz="4" w:space="0"/>
            </w:tcBorders>
            <w:vAlign w:val="center"/>
          </w:tcPr>
          <w:p w14:paraId="6034CEC6">
            <w:pPr>
              <w:pageBreakBefore w:val="0"/>
              <w:kinsoku/>
              <w:wordWrap/>
              <w:overflowPunct/>
              <w:topLinePunct w:val="0"/>
              <w:autoSpaceDE/>
              <w:autoSpaceDN/>
              <w:bidi w:val="0"/>
              <w:adjustRightInd w:val="0"/>
              <w:snapToGrid w:val="0"/>
              <w:spacing w:beforeAutospacing="0" w:afterAutospacing="0" w:line="240" w:lineRule="auto"/>
              <w:jc w:val="center"/>
              <w:rPr>
                <w:rFonts w:cs="Times New Roman"/>
                <w:color w:val="auto"/>
              </w:rPr>
            </w:pPr>
            <w:r>
              <w:rPr>
                <w:rFonts w:hint="eastAsia"/>
                <w:color w:val="auto"/>
              </w:rPr>
              <w:t>3</w:t>
            </w:r>
          </w:p>
        </w:tc>
        <w:tc>
          <w:tcPr>
            <w:tcW w:w="889" w:type="dxa"/>
            <w:tcBorders>
              <w:top w:val="single" w:color="auto" w:sz="4" w:space="0"/>
              <w:left w:val="nil"/>
              <w:bottom w:val="single" w:color="auto" w:sz="4" w:space="0"/>
              <w:right w:val="single" w:color="auto" w:sz="4" w:space="0"/>
            </w:tcBorders>
            <w:vAlign w:val="center"/>
          </w:tcPr>
          <w:p w14:paraId="1E8C750E">
            <w:pPr>
              <w:spacing w:line="560" w:lineRule="exact"/>
              <w:jc w:val="center"/>
              <w:rPr>
                <w:rFonts w:eastAsia="微软雅黑 Light" w:cs="Times New Roman"/>
                <w:color w:val="auto"/>
                <w:spacing w:val="6"/>
              </w:rPr>
            </w:pPr>
          </w:p>
        </w:tc>
        <w:tc>
          <w:tcPr>
            <w:tcW w:w="828" w:type="dxa"/>
            <w:tcBorders>
              <w:top w:val="single" w:color="auto" w:sz="4" w:space="0"/>
              <w:left w:val="nil"/>
              <w:bottom w:val="single" w:color="auto" w:sz="4" w:space="0"/>
              <w:right w:val="single" w:color="auto" w:sz="4" w:space="0"/>
            </w:tcBorders>
            <w:vAlign w:val="center"/>
          </w:tcPr>
          <w:p w14:paraId="0DD9BE98">
            <w:pPr>
              <w:spacing w:line="560" w:lineRule="exact"/>
              <w:jc w:val="center"/>
              <w:rPr>
                <w:rFonts w:eastAsia="微软雅黑 Light" w:cs="Times New Roman"/>
                <w:color w:val="auto"/>
                <w:spacing w:val="6"/>
              </w:rPr>
            </w:pPr>
          </w:p>
        </w:tc>
        <w:tc>
          <w:tcPr>
            <w:tcW w:w="1018" w:type="dxa"/>
            <w:tcBorders>
              <w:top w:val="single" w:color="auto" w:sz="4" w:space="0"/>
              <w:left w:val="nil"/>
              <w:bottom w:val="single" w:color="auto" w:sz="4" w:space="0"/>
              <w:right w:val="single" w:color="auto" w:sz="4" w:space="0"/>
            </w:tcBorders>
            <w:vAlign w:val="center"/>
          </w:tcPr>
          <w:p w14:paraId="5219D3CC">
            <w:pPr>
              <w:pageBreakBefore w:val="0"/>
              <w:kinsoku/>
              <w:wordWrap/>
              <w:overflowPunct/>
              <w:topLinePunct w:val="0"/>
              <w:autoSpaceDE/>
              <w:autoSpaceDN/>
              <w:bidi w:val="0"/>
              <w:adjustRightInd w:val="0"/>
              <w:snapToGrid w:val="0"/>
              <w:spacing w:beforeAutospacing="0" w:afterAutospacing="0" w:line="240" w:lineRule="auto"/>
              <w:jc w:val="center"/>
              <w:rPr>
                <w:rFonts w:eastAsia="微软雅黑 Light" w:cs="Times New Roman"/>
                <w:color w:val="auto"/>
                <w:spacing w:val="6"/>
              </w:rPr>
            </w:pPr>
          </w:p>
        </w:tc>
      </w:tr>
      <w:tr w14:paraId="52124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3AEFFD1A">
            <w:pPr>
              <w:pageBreakBefore w:val="0"/>
              <w:kinsoku/>
              <w:wordWrap/>
              <w:overflowPunct/>
              <w:topLinePunct w:val="0"/>
              <w:autoSpaceDE/>
              <w:autoSpaceDN/>
              <w:bidi w:val="0"/>
              <w:adjustRightInd w:val="0"/>
              <w:snapToGrid w:val="0"/>
              <w:spacing w:beforeAutospacing="0" w:afterAutospacing="0" w:line="240" w:lineRule="auto"/>
              <w:jc w:val="center"/>
              <w:rPr>
                <w:rFonts w:ascii="Times New Roman" w:hAnsi="Times New Roman" w:eastAsia="微软雅黑 Light" w:cs="Times New Roman"/>
                <w:color w:val="auto"/>
                <w:spacing w:val="6"/>
                <w:sz w:val="21"/>
                <w:szCs w:val="22"/>
              </w:rPr>
            </w:pPr>
            <w:r>
              <w:rPr>
                <w:rFonts w:hint="eastAsia" w:eastAsia="微软雅黑 Light"/>
                <w:color w:val="auto"/>
                <w:spacing w:val="6"/>
              </w:rPr>
              <w:t>11</w:t>
            </w:r>
          </w:p>
        </w:tc>
        <w:tc>
          <w:tcPr>
            <w:tcW w:w="1557" w:type="dxa"/>
            <w:tcBorders>
              <w:top w:val="single" w:color="auto" w:sz="4" w:space="0"/>
              <w:left w:val="nil"/>
              <w:bottom w:val="single" w:color="auto" w:sz="4" w:space="0"/>
              <w:right w:val="single" w:color="auto" w:sz="4" w:space="0"/>
            </w:tcBorders>
            <w:vAlign w:val="center"/>
          </w:tcPr>
          <w:p w14:paraId="50D83EE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宋体" w:cs="Times New Roman"/>
                <w:color w:val="auto"/>
              </w:rPr>
            </w:pPr>
            <w:r>
              <w:rPr>
                <w:rFonts w:hint="eastAsia"/>
                <w:color w:val="auto"/>
              </w:rPr>
              <w:t>4G</w:t>
            </w:r>
            <w:r>
              <w:rPr>
                <w:rFonts w:hint="eastAsia" w:ascii="宋体" w:hAnsi="宋体" w:cs="Times New Roman"/>
                <w:color w:val="auto"/>
              </w:rPr>
              <w:t>远传水表</w:t>
            </w:r>
          </w:p>
          <w:p w14:paraId="62106EA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cs="Times New Roman"/>
                <w:color w:val="auto"/>
              </w:rPr>
            </w:pPr>
            <w:r>
              <w:rPr>
                <w:rFonts w:hint="eastAsia" w:ascii="宋体" w:hAnsi="宋体" w:cs="Times New Roman"/>
                <w:color w:val="auto"/>
              </w:rPr>
              <w:t>（</w:t>
            </w:r>
            <w:r>
              <w:rPr>
                <w:rFonts w:hint="eastAsia"/>
                <w:color w:val="auto"/>
              </w:rPr>
              <w:t>DN65</w:t>
            </w:r>
            <w:r>
              <w:rPr>
                <w:rFonts w:hint="eastAsia" w:ascii="宋体" w:hAnsi="宋体" w:cs="Times New Roman"/>
                <w:color w:val="auto"/>
              </w:rPr>
              <w:t>）</w:t>
            </w:r>
          </w:p>
        </w:tc>
        <w:tc>
          <w:tcPr>
            <w:tcW w:w="7677" w:type="dxa"/>
            <w:vMerge w:val="continue"/>
            <w:tcBorders>
              <w:top w:val="nil"/>
              <w:left w:val="nil"/>
              <w:bottom w:val="single" w:color="auto" w:sz="4" w:space="0"/>
              <w:right w:val="single" w:color="auto" w:sz="4" w:space="0"/>
            </w:tcBorders>
            <w:vAlign w:val="center"/>
          </w:tcPr>
          <w:p w14:paraId="6A043E10">
            <w:pPr>
              <w:pageBreakBefore w:val="0"/>
              <w:kinsoku/>
              <w:wordWrap/>
              <w:overflowPunct/>
              <w:topLinePunct w:val="0"/>
              <w:autoSpaceDE/>
              <w:autoSpaceDN/>
              <w:bidi w:val="0"/>
              <w:adjustRightInd w:val="0"/>
              <w:snapToGrid w:val="0"/>
              <w:spacing w:beforeAutospacing="0" w:afterAutospacing="0" w:line="240" w:lineRule="auto"/>
              <w:rPr>
                <w:rFonts w:ascii="Calibri" w:hAnsi="Calibri" w:eastAsia="宋体" w:cs="Times New Roman"/>
                <w:color w:val="auto"/>
                <w:szCs w:val="21"/>
              </w:rPr>
            </w:pPr>
          </w:p>
        </w:tc>
        <w:tc>
          <w:tcPr>
            <w:tcW w:w="691" w:type="dxa"/>
            <w:tcBorders>
              <w:top w:val="single" w:color="auto" w:sz="4" w:space="0"/>
              <w:left w:val="nil"/>
              <w:bottom w:val="single" w:color="auto" w:sz="4" w:space="0"/>
              <w:right w:val="single" w:color="auto" w:sz="4" w:space="0"/>
            </w:tcBorders>
            <w:vAlign w:val="center"/>
          </w:tcPr>
          <w:p w14:paraId="4B338510">
            <w:pPr>
              <w:pageBreakBefore w:val="0"/>
              <w:kinsoku/>
              <w:wordWrap/>
              <w:overflowPunct/>
              <w:topLinePunct w:val="0"/>
              <w:autoSpaceDE/>
              <w:autoSpaceDN/>
              <w:bidi w:val="0"/>
              <w:adjustRightInd w:val="0"/>
              <w:snapToGrid w:val="0"/>
              <w:spacing w:beforeAutospacing="0" w:afterAutospacing="0" w:line="240" w:lineRule="auto"/>
              <w:jc w:val="center"/>
              <w:rPr>
                <w:rFonts w:hint="eastAsia" w:cs="Times New Roman"/>
                <w:color w:val="auto"/>
              </w:rPr>
            </w:pPr>
            <w:r>
              <w:rPr>
                <w:rFonts w:hint="eastAsia" w:ascii="宋体" w:hAnsi="宋体" w:cs="Times New Roman"/>
                <w:color w:val="auto"/>
              </w:rPr>
              <w:t>只</w:t>
            </w:r>
          </w:p>
        </w:tc>
        <w:tc>
          <w:tcPr>
            <w:tcW w:w="665" w:type="dxa"/>
            <w:tcBorders>
              <w:top w:val="single" w:color="auto" w:sz="4" w:space="0"/>
              <w:left w:val="nil"/>
              <w:bottom w:val="single" w:color="auto" w:sz="4" w:space="0"/>
              <w:right w:val="single" w:color="auto" w:sz="4" w:space="0"/>
            </w:tcBorders>
            <w:vAlign w:val="center"/>
          </w:tcPr>
          <w:p w14:paraId="407FB658">
            <w:pPr>
              <w:pageBreakBefore w:val="0"/>
              <w:kinsoku/>
              <w:wordWrap/>
              <w:overflowPunct/>
              <w:topLinePunct w:val="0"/>
              <w:autoSpaceDE/>
              <w:autoSpaceDN/>
              <w:bidi w:val="0"/>
              <w:adjustRightInd w:val="0"/>
              <w:snapToGrid w:val="0"/>
              <w:spacing w:beforeAutospacing="0" w:afterAutospacing="0" w:line="240" w:lineRule="auto"/>
              <w:jc w:val="center"/>
              <w:rPr>
                <w:rFonts w:cs="Times New Roman"/>
                <w:color w:val="auto"/>
              </w:rPr>
            </w:pPr>
            <w:r>
              <w:rPr>
                <w:rFonts w:hint="eastAsia"/>
                <w:color w:val="auto"/>
              </w:rPr>
              <w:t>10</w:t>
            </w:r>
          </w:p>
        </w:tc>
        <w:tc>
          <w:tcPr>
            <w:tcW w:w="889" w:type="dxa"/>
            <w:tcBorders>
              <w:top w:val="single" w:color="auto" w:sz="4" w:space="0"/>
              <w:left w:val="nil"/>
              <w:bottom w:val="single" w:color="auto" w:sz="4" w:space="0"/>
              <w:right w:val="single" w:color="auto" w:sz="4" w:space="0"/>
            </w:tcBorders>
            <w:vAlign w:val="center"/>
          </w:tcPr>
          <w:p w14:paraId="368F65E2">
            <w:pPr>
              <w:spacing w:line="560" w:lineRule="exact"/>
              <w:jc w:val="center"/>
              <w:rPr>
                <w:rFonts w:eastAsia="微软雅黑 Light" w:cs="Times New Roman"/>
                <w:color w:val="auto"/>
                <w:spacing w:val="6"/>
              </w:rPr>
            </w:pPr>
          </w:p>
        </w:tc>
        <w:tc>
          <w:tcPr>
            <w:tcW w:w="828" w:type="dxa"/>
            <w:tcBorders>
              <w:top w:val="single" w:color="auto" w:sz="4" w:space="0"/>
              <w:left w:val="nil"/>
              <w:bottom w:val="single" w:color="auto" w:sz="4" w:space="0"/>
              <w:right w:val="single" w:color="auto" w:sz="4" w:space="0"/>
            </w:tcBorders>
            <w:vAlign w:val="center"/>
          </w:tcPr>
          <w:p w14:paraId="1A2D8E94">
            <w:pPr>
              <w:spacing w:line="560" w:lineRule="exact"/>
              <w:jc w:val="center"/>
              <w:rPr>
                <w:rFonts w:eastAsia="微软雅黑 Light" w:cs="Times New Roman"/>
                <w:color w:val="auto"/>
                <w:spacing w:val="6"/>
              </w:rPr>
            </w:pPr>
          </w:p>
        </w:tc>
        <w:tc>
          <w:tcPr>
            <w:tcW w:w="1018" w:type="dxa"/>
            <w:tcBorders>
              <w:top w:val="single" w:color="auto" w:sz="4" w:space="0"/>
              <w:left w:val="nil"/>
              <w:bottom w:val="single" w:color="auto" w:sz="4" w:space="0"/>
              <w:right w:val="single" w:color="auto" w:sz="4" w:space="0"/>
            </w:tcBorders>
            <w:vAlign w:val="center"/>
          </w:tcPr>
          <w:p w14:paraId="35ABAC52">
            <w:pPr>
              <w:pageBreakBefore w:val="0"/>
              <w:kinsoku/>
              <w:wordWrap/>
              <w:overflowPunct/>
              <w:topLinePunct w:val="0"/>
              <w:autoSpaceDE/>
              <w:autoSpaceDN/>
              <w:bidi w:val="0"/>
              <w:adjustRightInd w:val="0"/>
              <w:snapToGrid w:val="0"/>
              <w:spacing w:beforeAutospacing="0" w:afterAutospacing="0" w:line="240" w:lineRule="auto"/>
              <w:jc w:val="center"/>
              <w:rPr>
                <w:rFonts w:eastAsia="微软雅黑 Light" w:cs="Times New Roman"/>
                <w:color w:val="auto"/>
                <w:spacing w:val="6"/>
              </w:rPr>
            </w:pPr>
          </w:p>
        </w:tc>
      </w:tr>
      <w:tr w14:paraId="04F25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14DA0E4E">
            <w:pPr>
              <w:pageBreakBefore w:val="0"/>
              <w:kinsoku/>
              <w:wordWrap/>
              <w:overflowPunct/>
              <w:topLinePunct w:val="0"/>
              <w:autoSpaceDE/>
              <w:autoSpaceDN/>
              <w:bidi w:val="0"/>
              <w:adjustRightInd w:val="0"/>
              <w:snapToGrid w:val="0"/>
              <w:spacing w:beforeAutospacing="0" w:afterAutospacing="0" w:line="240" w:lineRule="auto"/>
              <w:jc w:val="center"/>
              <w:rPr>
                <w:rFonts w:hint="default" w:ascii="Times New Roman" w:hAnsi="Times New Roman" w:eastAsia="微软雅黑 Light" w:cs="Times New Roman"/>
                <w:color w:val="auto"/>
                <w:spacing w:val="6"/>
                <w:sz w:val="21"/>
                <w:szCs w:val="22"/>
                <w:lang w:val="en-US" w:eastAsia="zh-CN"/>
              </w:rPr>
            </w:pPr>
            <w:r>
              <w:rPr>
                <w:rFonts w:hint="eastAsia" w:eastAsia="微软雅黑 Light"/>
                <w:color w:val="auto"/>
                <w:spacing w:val="6"/>
                <w:lang w:val="en-US" w:eastAsia="zh-CN"/>
              </w:rPr>
              <w:t>12</w:t>
            </w:r>
          </w:p>
        </w:tc>
        <w:tc>
          <w:tcPr>
            <w:tcW w:w="1557" w:type="dxa"/>
            <w:tcBorders>
              <w:top w:val="single" w:color="auto" w:sz="4" w:space="0"/>
              <w:left w:val="nil"/>
              <w:bottom w:val="single" w:color="auto" w:sz="4" w:space="0"/>
              <w:right w:val="single" w:color="auto" w:sz="4" w:space="0"/>
            </w:tcBorders>
            <w:vAlign w:val="center"/>
          </w:tcPr>
          <w:p w14:paraId="7D320EE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eastAsia="宋体" w:cs="Times New Roman"/>
                <w:color w:val="auto"/>
              </w:rPr>
            </w:pPr>
            <w:r>
              <w:rPr>
                <w:rFonts w:hint="eastAsia"/>
                <w:color w:val="auto"/>
              </w:rPr>
              <w:t>4G</w:t>
            </w:r>
            <w:r>
              <w:rPr>
                <w:rFonts w:hint="eastAsia" w:ascii="宋体" w:hAnsi="宋体" w:cs="Times New Roman"/>
                <w:color w:val="auto"/>
              </w:rPr>
              <w:t>远传水表</w:t>
            </w:r>
          </w:p>
          <w:p w14:paraId="7600C01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cs="Times New Roman"/>
                <w:color w:val="auto"/>
              </w:rPr>
            </w:pPr>
            <w:r>
              <w:rPr>
                <w:rFonts w:hint="eastAsia"/>
                <w:color w:val="auto"/>
              </w:rPr>
              <w:t>(DN80)</w:t>
            </w:r>
          </w:p>
        </w:tc>
        <w:tc>
          <w:tcPr>
            <w:tcW w:w="7677" w:type="dxa"/>
            <w:vMerge w:val="continue"/>
            <w:tcBorders>
              <w:top w:val="nil"/>
              <w:left w:val="nil"/>
              <w:bottom w:val="single" w:color="auto" w:sz="4" w:space="0"/>
              <w:right w:val="single" w:color="auto" w:sz="4" w:space="0"/>
            </w:tcBorders>
            <w:vAlign w:val="center"/>
          </w:tcPr>
          <w:p w14:paraId="6B88E36B">
            <w:pPr>
              <w:pageBreakBefore w:val="0"/>
              <w:kinsoku/>
              <w:wordWrap/>
              <w:overflowPunct/>
              <w:topLinePunct w:val="0"/>
              <w:autoSpaceDE/>
              <w:autoSpaceDN/>
              <w:bidi w:val="0"/>
              <w:adjustRightInd w:val="0"/>
              <w:snapToGrid w:val="0"/>
              <w:spacing w:beforeAutospacing="0" w:afterAutospacing="0" w:line="240" w:lineRule="auto"/>
              <w:rPr>
                <w:rFonts w:ascii="Calibri" w:hAnsi="Calibri" w:eastAsia="宋体" w:cs="Times New Roman"/>
                <w:color w:val="auto"/>
                <w:szCs w:val="21"/>
              </w:rPr>
            </w:pPr>
          </w:p>
        </w:tc>
        <w:tc>
          <w:tcPr>
            <w:tcW w:w="691" w:type="dxa"/>
            <w:tcBorders>
              <w:top w:val="single" w:color="auto" w:sz="4" w:space="0"/>
              <w:left w:val="nil"/>
              <w:bottom w:val="single" w:color="auto" w:sz="4" w:space="0"/>
              <w:right w:val="single" w:color="auto" w:sz="4" w:space="0"/>
            </w:tcBorders>
            <w:vAlign w:val="center"/>
          </w:tcPr>
          <w:p w14:paraId="5E2288E5">
            <w:pPr>
              <w:pageBreakBefore w:val="0"/>
              <w:kinsoku/>
              <w:wordWrap/>
              <w:overflowPunct/>
              <w:topLinePunct w:val="0"/>
              <w:autoSpaceDE/>
              <w:autoSpaceDN/>
              <w:bidi w:val="0"/>
              <w:adjustRightInd w:val="0"/>
              <w:snapToGrid w:val="0"/>
              <w:spacing w:beforeAutospacing="0" w:afterAutospacing="0" w:line="240" w:lineRule="auto"/>
              <w:jc w:val="center"/>
              <w:rPr>
                <w:rFonts w:hint="eastAsia" w:cs="Times New Roman"/>
                <w:color w:val="auto"/>
              </w:rPr>
            </w:pPr>
            <w:r>
              <w:rPr>
                <w:rFonts w:hint="eastAsia" w:ascii="宋体" w:hAnsi="宋体" w:cs="Times New Roman"/>
                <w:color w:val="auto"/>
              </w:rPr>
              <w:t>只</w:t>
            </w:r>
          </w:p>
        </w:tc>
        <w:tc>
          <w:tcPr>
            <w:tcW w:w="665" w:type="dxa"/>
            <w:tcBorders>
              <w:top w:val="single" w:color="auto" w:sz="4" w:space="0"/>
              <w:left w:val="nil"/>
              <w:bottom w:val="single" w:color="auto" w:sz="4" w:space="0"/>
              <w:right w:val="single" w:color="auto" w:sz="4" w:space="0"/>
            </w:tcBorders>
            <w:vAlign w:val="center"/>
          </w:tcPr>
          <w:p w14:paraId="5ADA51A5">
            <w:pPr>
              <w:pageBreakBefore w:val="0"/>
              <w:kinsoku/>
              <w:wordWrap/>
              <w:overflowPunct/>
              <w:topLinePunct w:val="0"/>
              <w:autoSpaceDE/>
              <w:autoSpaceDN/>
              <w:bidi w:val="0"/>
              <w:adjustRightInd w:val="0"/>
              <w:snapToGrid w:val="0"/>
              <w:spacing w:beforeAutospacing="0" w:afterAutospacing="0" w:line="240" w:lineRule="auto"/>
              <w:jc w:val="center"/>
              <w:rPr>
                <w:rFonts w:cs="Times New Roman"/>
                <w:color w:val="auto"/>
              </w:rPr>
            </w:pPr>
            <w:r>
              <w:rPr>
                <w:rFonts w:hint="eastAsia"/>
                <w:color w:val="auto"/>
              </w:rPr>
              <w:t>58</w:t>
            </w:r>
          </w:p>
        </w:tc>
        <w:tc>
          <w:tcPr>
            <w:tcW w:w="889" w:type="dxa"/>
            <w:tcBorders>
              <w:top w:val="single" w:color="auto" w:sz="4" w:space="0"/>
              <w:left w:val="nil"/>
              <w:bottom w:val="single" w:color="auto" w:sz="4" w:space="0"/>
              <w:right w:val="single" w:color="auto" w:sz="4" w:space="0"/>
            </w:tcBorders>
            <w:vAlign w:val="center"/>
          </w:tcPr>
          <w:p w14:paraId="344FC4A8">
            <w:pPr>
              <w:spacing w:line="560" w:lineRule="exact"/>
              <w:jc w:val="center"/>
              <w:rPr>
                <w:rFonts w:eastAsia="微软雅黑 Light" w:cs="Times New Roman"/>
                <w:color w:val="auto"/>
                <w:spacing w:val="6"/>
              </w:rPr>
            </w:pPr>
          </w:p>
        </w:tc>
        <w:tc>
          <w:tcPr>
            <w:tcW w:w="828" w:type="dxa"/>
            <w:tcBorders>
              <w:top w:val="single" w:color="auto" w:sz="4" w:space="0"/>
              <w:left w:val="nil"/>
              <w:bottom w:val="single" w:color="auto" w:sz="4" w:space="0"/>
              <w:right w:val="single" w:color="auto" w:sz="4" w:space="0"/>
            </w:tcBorders>
            <w:vAlign w:val="center"/>
          </w:tcPr>
          <w:p w14:paraId="7C04EA7B">
            <w:pPr>
              <w:spacing w:line="240" w:lineRule="auto"/>
              <w:jc w:val="center"/>
              <w:rPr>
                <w:rFonts w:eastAsia="微软雅黑 Light" w:cs="Times New Roman"/>
                <w:color w:val="auto"/>
                <w:spacing w:val="6"/>
              </w:rPr>
            </w:pPr>
          </w:p>
        </w:tc>
        <w:tc>
          <w:tcPr>
            <w:tcW w:w="1018" w:type="dxa"/>
            <w:tcBorders>
              <w:top w:val="single" w:color="auto" w:sz="4" w:space="0"/>
              <w:left w:val="nil"/>
              <w:bottom w:val="single" w:color="auto" w:sz="4" w:space="0"/>
              <w:right w:val="single" w:color="auto" w:sz="4" w:space="0"/>
            </w:tcBorders>
            <w:vAlign w:val="center"/>
          </w:tcPr>
          <w:p w14:paraId="3B77BE16">
            <w:pPr>
              <w:pageBreakBefore w:val="0"/>
              <w:kinsoku/>
              <w:wordWrap/>
              <w:overflowPunct/>
              <w:topLinePunct w:val="0"/>
              <w:autoSpaceDE/>
              <w:autoSpaceDN/>
              <w:bidi w:val="0"/>
              <w:adjustRightInd w:val="0"/>
              <w:snapToGrid w:val="0"/>
              <w:spacing w:beforeAutospacing="0" w:afterAutospacing="0" w:line="240" w:lineRule="auto"/>
              <w:jc w:val="center"/>
              <w:rPr>
                <w:rFonts w:eastAsia="微软雅黑 Light" w:cs="Times New Roman"/>
                <w:color w:val="auto"/>
                <w:spacing w:val="6"/>
              </w:rPr>
            </w:pPr>
          </w:p>
        </w:tc>
      </w:tr>
      <w:tr w14:paraId="0CD5A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22C79BAA">
            <w:pPr>
              <w:pageBreakBefore w:val="0"/>
              <w:kinsoku/>
              <w:wordWrap/>
              <w:overflowPunct/>
              <w:topLinePunct w:val="0"/>
              <w:autoSpaceDE/>
              <w:autoSpaceDN/>
              <w:bidi w:val="0"/>
              <w:adjustRightInd w:val="0"/>
              <w:snapToGrid w:val="0"/>
              <w:spacing w:beforeAutospacing="0" w:afterAutospacing="0" w:line="240" w:lineRule="auto"/>
              <w:jc w:val="center"/>
              <w:rPr>
                <w:rFonts w:hint="default" w:eastAsia="微软雅黑 Light"/>
                <w:color w:val="auto"/>
                <w:spacing w:val="6"/>
                <w:lang w:val="en-US" w:eastAsia="zh-CN"/>
              </w:rPr>
            </w:pPr>
            <w:r>
              <w:rPr>
                <w:rFonts w:hint="eastAsia" w:eastAsia="微软雅黑 Light"/>
                <w:color w:val="auto"/>
                <w:spacing w:val="6"/>
                <w:lang w:val="en-US" w:eastAsia="zh-CN"/>
              </w:rPr>
              <w:t>13</w:t>
            </w:r>
          </w:p>
        </w:tc>
        <w:tc>
          <w:tcPr>
            <w:tcW w:w="1557" w:type="dxa"/>
            <w:tcBorders>
              <w:top w:val="single" w:color="auto" w:sz="4" w:space="0"/>
              <w:left w:val="nil"/>
              <w:bottom w:val="single" w:color="auto" w:sz="4" w:space="0"/>
              <w:right w:val="single" w:color="auto" w:sz="4" w:space="0"/>
            </w:tcBorders>
            <w:shd w:val="clear" w:color="auto" w:fill="auto"/>
            <w:vAlign w:val="center"/>
          </w:tcPr>
          <w:p w14:paraId="1244F2AC">
            <w:pPr>
              <w:pageBreakBefore w:val="0"/>
              <w:kinsoku/>
              <w:wordWrap/>
              <w:overflowPunct/>
              <w:topLinePunct w:val="0"/>
              <w:autoSpaceDE/>
              <w:autoSpaceDN/>
              <w:bidi w:val="0"/>
              <w:adjustRightInd w:val="0"/>
              <w:snapToGrid w:val="0"/>
              <w:spacing w:beforeAutospacing="0" w:afterAutospacing="0" w:line="240" w:lineRule="auto"/>
              <w:jc w:val="both"/>
              <w:rPr>
                <w:rFonts w:hint="eastAsia" w:ascii="Times New Roman" w:hAnsi="Times New Roman" w:cs="Times New Roman" w:eastAsiaTheme="minorEastAsia"/>
                <w:b w:val="0"/>
                <w:bCs w:val="0"/>
                <w:color w:val="auto"/>
                <w:sz w:val="21"/>
                <w:szCs w:val="22"/>
                <w:lang w:val="en-US" w:eastAsia="zh-CN"/>
              </w:rPr>
            </w:pPr>
            <w:r>
              <w:rPr>
                <w:rFonts w:hint="eastAsia"/>
                <w:b w:val="0"/>
                <w:bCs w:val="0"/>
                <w:color w:val="auto"/>
                <w:lang w:val="en-US" w:eastAsia="zh-CN"/>
              </w:rPr>
              <w:t>4G无线管网压力变送器</w:t>
            </w:r>
          </w:p>
        </w:tc>
        <w:tc>
          <w:tcPr>
            <w:tcW w:w="7677" w:type="dxa"/>
            <w:tcBorders>
              <w:top w:val="nil"/>
              <w:left w:val="nil"/>
              <w:bottom w:val="single" w:color="auto" w:sz="4" w:space="0"/>
              <w:right w:val="single" w:color="auto" w:sz="4" w:space="0"/>
            </w:tcBorders>
            <w:shd w:val="clear" w:color="auto" w:fill="auto"/>
            <w:vAlign w:val="center"/>
          </w:tcPr>
          <w:p w14:paraId="64D789F9">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1、防爆设计：隔爆铝壳，电路板系统本质安全。</w:t>
            </w:r>
          </w:p>
          <w:p w14:paraId="6B88A70F">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2、防护等级：IP67，全密封防水设计。</w:t>
            </w:r>
          </w:p>
          <w:p w14:paraId="754603FD">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3、LCD 显示：-40~70℃宽温度工作范围，可显示压力数据、电池电压、无线信道等多种信息。</w:t>
            </w:r>
          </w:p>
          <w:p w14:paraId="3F0C2CDC">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4、38Ah 高能量锂亚电池，超长工作寿命。</w:t>
            </w:r>
          </w:p>
          <w:p w14:paraId="4392CE83">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5、通讯方式：4G、NB、Lora，Zigbee。</w:t>
            </w:r>
          </w:p>
          <w:p w14:paraId="617DC551">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6、压力测量：0-60MPa（可定制）。</w:t>
            </w:r>
          </w:p>
          <w:p w14:paraId="2D71C4FB">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lang w:eastAsia="zh-CN"/>
              </w:rPr>
            </w:pPr>
            <w:r>
              <w:rPr>
                <w:rFonts w:hint="eastAsia" w:ascii="Calibri" w:hAnsi="Calibri" w:eastAsia="宋体" w:cs="Times New Roman"/>
                <w:b w:val="0"/>
                <w:bCs w:val="0"/>
                <w:color w:val="auto"/>
                <w:szCs w:val="21"/>
              </w:rPr>
              <w:t xml:space="preserve">7、精度等级：0.25%F.S </w:t>
            </w:r>
            <w:r>
              <w:rPr>
                <w:rFonts w:hint="eastAsia" w:ascii="Calibri" w:hAnsi="Calibri" w:eastAsia="宋体" w:cs="Times New Roman"/>
                <w:b w:val="0"/>
                <w:bCs w:val="0"/>
                <w:color w:val="auto"/>
                <w:szCs w:val="21"/>
                <w:lang w:eastAsia="zh-CN"/>
              </w:rPr>
              <w:t>。</w:t>
            </w:r>
          </w:p>
          <w:p w14:paraId="6E4AF7ED">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lang w:eastAsia="zh-CN"/>
              </w:rPr>
            </w:pPr>
            <w:r>
              <w:rPr>
                <w:rFonts w:hint="eastAsia" w:ascii="Calibri" w:hAnsi="Calibri" w:eastAsia="宋体" w:cs="Times New Roman"/>
                <w:b w:val="0"/>
                <w:bCs w:val="0"/>
                <w:color w:val="auto"/>
                <w:szCs w:val="21"/>
              </w:rPr>
              <w:t>8、过载压力：150%F.S</w:t>
            </w:r>
            <w:r>
              <w:rPr>
                <w:rFonts w:hint="eastAsia" w:ascii="Calibri" w:hAnsi="Calibri" w:eastAsia="宋体" w:cs="Times New Roman"/>
                <w:b w:val="0"/>
                <w:bCs w:val="0"/>
                <w:color w:val="auto"/>
                <w:szCs w:val="21"/>
                <w:lang w:eastAsia="zh-CN"/>
              </w:rPr>
              <w:t>。</w:t>
            </w:r>
          </w:p>
          <w:p w14:paraId="07913484">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9、上传时间：1分钟—12小时（可设置）。</w:t>
            </w:r>
          </w:p>
          <w:p w14:paraId="23082A52">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lang w:eastAsia="zh-CN"/>
              </w:rPr>
            </w:pPr>
            <w:r>
              <w:rPr>
                <w:rFonts w:hint="eastAsia" w:ascii="Calibri" w:hAnsi="Calibri" w:eastAsia="宋体" w:cs="Times New Roman"/>
                <w:b w:val="0"/>
                <w:bCs w:val="0"/>
                <w:color w:val="auto"/>
                <w:szCs w:val="21"/>
              </w:rPr>
              <w:t>10、产品重：2000g</w:t>
            </w:r>
            <w:r>
              <w:rPr>
                <w:rFonts w:hint="eastAsia" w:ascii="Calibri" w:hAnsi="Calibri" w:eastAsia="宋体" w:cs="Times New Roman"/>
                <w:b w:val="0"/>
                <w:bCs w:val="0"/>
                <w:color w:val="auto"/>
                <w:szCs w:val="21"/>
                <w:lang w:eastAsia="zh-CN"/>
              </w:rPr>
              <w:t>。</w:t>
            </w:r>
          </w:p>
          <w:p w14:paraId="7C137848">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11、本体和显示表头可以任意互换，维修方便。</w:t>
            </w:r>
          </w:p>
          <w:p w14:paraId="0BB50DD8">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lang w:eastAsia="zh-CN"/>
              </w:rPr>
            </w:pPr>
            <w:r>
              <w:rPr>
                <w:rFonts w:hint="eastAsia" w:ascii="Calibri" w:hAnsi="Calibri" w:eastAsia="宋体" w:cs="Times New Roman"/>
                <w:b w:val="0"/>
                <w:bCs w:val="0"/>
                <w:color w:val="auto"/>
                <w:szCs w:val="21"/>
              </w:rPr>
              <w:t>12、可以远程配置参数</w:t>
            </w:r>
            <w:r>
              <w:rPr>
                <w:rFonts w:hint="eastAsia" w:ascii="Calibri" w:hAnsi="Calibri" w:eastAsia="宋体" w:cs="Times New Roman"/>
                <w:b w:val="0"/>
                <w:bCs w:val="0"/>
                <w:color w:val="auto"/>
                <w:szCs w:val="21"/>
                <w:lang w:eastAsia="zh-CN"/>
              </w:rPr>
              <w:t>。</w:t>
            </w:r>
          </w:p>
          <w:p w14:paraId="0739797C">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lang w:eastAsia="zh-CN"/>
              </w:rPr>
            </w:pPr>
            <w:r>
              <w:rPr>
                <w:rFonts w:hint="eastAsia" w:ascii="Calibri" w:hAnsi="Calibri" w:eastAsia="宋体" w:cs="Times New Roman"/>
                <w:b w:val="0"/>
                <w:bCs w:val="0"/>
                <w:color w:val="auto"/>
                <w:szCs w:val="21"/>
              </w:rPr>
              <w:t>13、</w:t>
            </w:r>
            <w:r>
              <w:rPr>
                <w:rFonts w:hint="eastAsia" w:ascii="Calibri" w:hAnsi="Calibri" w:eastAsia="宋体" w:cs="Times New Roman"/>
                <w:b w:val="0"/>
                <w:bCs w:val="0"/>
                <w:color w:val="auto"/>
                <w:szCs w:val="21"/>
                <w:lang w:val="en-US" w:eastAsia="zh-CN"/>
              </w:rPr>
              <w:t xml:space="preserve"> </w:t>
            </w:r>
            <w:r>
              <w:rPr>
                <w:rFonts w:hint="eastAsia" w:ascii="Calibri" w:hAnsi="Calibri" w:eastAsia="宋体" w:cs="Times New Roman"/>
                <w:b w:val="0"/>
                <w:bCs w:val="0"/>
                <w:color w:val="auto"/>
                <w:szCs w:val="21"/>
              </w:rPr>
              <w:t>突变数据上传（首先对几个突变数据简单的判别在上传）</w:t>
            </w:r>
            <w:r>
              <w:rPr>
                <w:rFonts w:hint="eastAsia" w:ascii="Calibri" w:hAnsi="Calibri" w:eastAsia="宋体" w:cs="Times New Roman"/>
                <w:b w:val="0"/>
                <w:bCs w:val="0"/>
                <w:color w:val="auto"/>
                <w:szCs w:val="21"/>
                <w:lang w:eastAsia="zh-CN"/>
              </w:rPr>
              <w:t>。</w:t>
            </w:r>
          </w:p>
          <w:p w14:paraId="20684C55">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lang w:eastAsia="zh-CN"/>
              </w:rPr>
            </w:pPr>
            <w:r>
              <w:rPr>
                <w:rFonts w:hint="eastAsia" w:ascii="Calibri" w:hAnsi="Calibri" w:eastAsia="宋体" w:cs="Times New Roman"/>
                <w:b w:val="0"/>
                <w:bCs w:val="0"/>
                <w:color w:val="auto"/>
                <w:szCs w:val="21"/>
              </w:rPr>
              <w:t>14、</w:t>
            </w:r>
            <w:r>
              <w:rPr>
                <w:rFonts w:hint="eastAsia" w:ascii="Calibri" w:hAnsi="Calibri" w:eastAsia="宋体" w:cs="Times New Roman"/>
                <w:b w:val="0"/>
                <w:bCs w:val="0"/>
                <w:color w:val="auto"/>
                <w:szCs w:val="21"/>
                <w:lang w:val="en-US" w:eastAsia="zh-CN"/>
              </w:rPr>
              <w:t xml:space="preserve"> </w:t>
            </w:r>
            <w:r>
              <w:rPr>
                <w:rFonts w:hint="eastAsia" w:ascii="Calibri" w:hAnsi="Calibri" w:eastAsia="宋体" w:cs="Times New Roman"/>
                <w:b w:val="0"/>
                <w:bCs w:val="0"/>
                <w:color w:val="auto"/>
                <w:szCs w:val="21"/>
              </w:rPr>
              <w:t>低功耗，电池供电且可以充电（或则外置电池，方便更换）；低电量告警</w:t>
            </w:r>
            <w:r>
              <w:rPr>
                <w:rFonts w:hint="eastAsia" w:ascii="Calibri" w:hAnsi="Calibri" w:eastAsia="宋体" w:cs="Times New Roman"/>
                <w:b w:val="0"/>
                <w:bCs w:val="0"/>
                <w:color w:val="auto"/>
                <w:szCs w:val="21"/>
                <w:lang w:eastAsia="zh-CN"/>
              </w:rPr>
              <w:t>。</w:t>
            </w:r>
          </w:p>
          <w:p w14:paraId="4BED2A61">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 w:val="21"/>
                <w:szCs w:val="21"/>
                <w:lang w:eastAsia="zh-CN"/>
              </w:rPr>
            </w:pPr>
            <w:r>
              <w:rPr>
                <w:rFonts w:hint="eastAsia" w:ascii="Calibri" w:hAnsi="Calibri" w:eastAsia="宋体" w:cs="Times New Roman"/>
                <w:b w:val="0"/>
                <w:bCs w:val="0"/>
                <w:color w:val="auto"/>
                <w:szCs w:val="21"/>
              </w:rPr>
              <w:t>15、</w:t>
            </w:r>
            <w:r>
              <w:rPr>
                <w:rFonts w:hint="eastAsia" w:ascii="Calibri" w:hAnsi="Calibri" w:eastAsia="宋体" w:cs="Times New Roman"/>
                <w:b w:val="0"/>
                <w:bCs w:val="0"/>
                <w:color w:val="auto"/>
                <w:szCs w:val="21"/>
                <w:lang w:val="en-US" w:eastAsia="zh-CN"/>
              </w:rPr>
              <w:t xml:space="preserve"> </w:t>
            </w:r>
            <w:r>
              <w:rPr>
                <w:rFonts w:hint="eastAsia" w:ascii="Calibri" w:hAnsi="Calibri" w:eastAsia="宋体" w:cs="Times New Roman"/>
                <w:b w:val="0"/>
                <w:bCs w:val="0"/>
                <w:color w:val="auto"/>
                <w:szCs w:val="21"/>
              </w:rPr>
              <w:t>现场液晶显示</w:t>
            </w:r>
            <w:r>
              <w:rPr>
                <w:rFonts w:hint="eastAsia" w:ascii="Calibri" w:hAnsi="Calibri" w:eastAsia="宋体" w:cs="Times New Roman"/>
                <w:b w:val="0"/>
                <w:bCs w:val="0"/>
                <w:color w:val="auto"/>
                <w:szCs w:val="21"/>
                <w:lang w:eastAsia="zh-CN"/>
              </w:rPr>
              <w:t>。</w:t>
            </w:r>
          </w:p>
        </w:tc>
        <w:tc>
          <w:tcPr>
            <w:tcW w:w="691" w:type="dxa"/>
            <w:tcBorders>
              <w:top w:val="single" w:color="auto" w:sz="4" w:space="0"/>
              <w:left w:val="nil"/>
              <w:bottom w:val="single" w:color="auto" w:sz="4" w:space="0"/>
              <w:right w:val="single" w:color="auto" w:sz="4" w:space="0"/>
            </w:tcBorders>
            <w:shd w:val="clear" w:color="auto" w:fill="auto"/>
            <w:vAlign w:val="center"/>
          </w:tcPr>
          <w:p w14:paraId="0EBD389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cs="Times New Roman" w:eastAsiaTheme="minorEastAsia"/>
                <w:b/>
                <w:bCs/>
                <w:color w:val="auto"/>
                <w:sz w:val="21"/>
                <w:szCs w:val="22"/>
                <w:lang w:val="en-US" w:eastAsia="zh-CN"/>
              </w:rPr>
            </w:pPr>
            <w:r>
              <w:rPr>
                <w:rFonts w:hint="eastAsia" w:ascii="宋体" w:hAnsi="宋体" w:cs="Times New Roman"/>
                <w:b w:val="0"/>
                <w:bCs w:val="0"/>
                <w:color w:val="auto"/>
                <w:lang w:val="en-US" w:eastAsia="zh-CN"/>
              </w:rPr>
              <w:t>只</w:t>
            </w:r>
          </w:p>
        </w:tc>
        <w:tc>
          <w:tcPr>
            <w:tcW w:w="665" w:type="dxa"/>
            <w:tcBorders>
              <w:top w:val="single" w:color="auto" w:sz="4" w:space="0"/>
              <w:left w:val="nil"/>
              <w:bottom w:val="single" w:color="auto" w:sz="4" w:space="0"/>
              <w:right w:val="single" w:color="auto" w:sz="4" w:space="0"/>
            </w:tcBorders>
            <w:shd w:val="clear" w:color="auto" w:fill="auto"/>
            <w:vAlign w:val="center"/>
          </w:tcPr>
          <w:p w14:paraId="78B876D2">
            <w:pPr>
              <w:spacing w:line="560" w:lineRule="exact"/>
              <w:jc w:val="center"/>
              <w:rPr>
                <w:rFonts w:hint="default" w:ascii="Times New Roman" w:hAnsi="Times New Roman" w:cs="Times New Roman" w:eastAsiaTheme="minorEastAsia"/>
                <w:b w:val="0"/>
                <w:bCs w:val="0"/>
                <w:color w:val="auto"/>
                <w:sz w:val="21"/>
                <w:szCs w:val="22"/>
                <w:lang w:val="en-US" w:eastAsia="zh-CN"/>
              </w:rPr>
            </w:pPr>
            <w:r>
              <w:rPr>
                <w:rFonts w:hint="eastAsia" w:ascii="Calibri" w:hAnsi="Calibri" w:eastAsia="Times New Roman"/>
                <w:b w:val="0"/>
                <w:bCs w:val="0"/>
                <w:color w:val="auto"/>
              </w:rPr>
              <w:t>10</w:t>
            </w:r>
          </w:p>
        </w:tc>
        <w:tc>
          <w:tcPr>
            <w:tcW w:w="889" w:type="dxa"/>
            <w:tcBorders>
              <w:top w:val="single" w:color="auto" w:sz="4" w:space="0"/>
              <w:left w:val="nil"/>
              <w:bottom w:val="single" w:color="auto" w:sz="4" w:space="0"/>
              <w:right w:val="single" w:color="auto" w:sz="4" w:space="0"/>
            </w:tcBorders>
            <w:shd w:val="clear" w:color="auto" w:fill="auto"/>
            <w:vAlign w:val="center"/>
          </w:tcPr>
          <w:p w14:paraId="607D1298">
            <w:pPr>
              <w:spacing w:line="560" w:lineRule="exact"/>
              <w:jc w:val="center"/>
              <w:rPr>
                <w:rFonts w:hint="default" w:ascii="Times New Roman" w:hAnsi="Times New Roman" w:eastAsia="微软雅黑 Light" w:cs="Times New Roman"/>
                <w:b w:val="0"/>
                <w:bCs w:val="0"/>
                <w:color w:val="auto"/>
                <w:spacing w:val="6"/>
                <w:sz w:val="21"/>
                <w:szCs w:val="22"/>
                <w:lang w:val="en-US" w:eastAsia="zh-CN"/>
              </w:rPr>
            </w:pPr>
          </w:p>
        </w:tc>
        <w:tc>
          <w:tcPr>
            <w:tcW w:w="828" w:type="dxa"/>
            <w:tcBorders>
              <w:top w:val="single" w:color="auto" w:sz="4" w:space="0"/>
              <w:left w:val="nil"/>
              <w:bottom w:val="single" w:color="auto" w:sz="4" w:space="0"/>
              <w:right w:val="single" w:color="auto" w:sz="4" w:space="0"/>
            </w:tcBorders>
            <w:vAlign w:val="center"/>
          </w:tcPr>
          <w:p w14:paraId="03DBDC92">
            <w:pPr>
              <w:spacing w:line="560" w:lineRule="exact"/>
              <w:jc w:val="center"/>
              <w:rPr>
                <w:rFonts w:hint="default" w:eastAsia="微软雅黑 Light"/>
                <w:b w:val="0"/>
                <w:bCs w:val="0"/>
                <w:color w:val="auto"/>
                <w:spacing w:val="6"/>
                <w:lang w:val="en-US" w:eastAsia="zh-CN"/>
              </w:rPr>
            </w:pPr>
          </w:p>
        </w:tc>
        <w:tc>
          <w:tcPr>
            <w:tcW w:w="1018" w:type="dxa"/>
            <w:tcBorders>
              <w:top w:val="single" w:color="auto" w:sz="4" w:space="0"/>
              <w:left w:val="nil"/>
              <w:bottom w:val="single" w:color="auto" w:sz="4" w:space="0"/>
              <w:right w:val="single" w:color="auto" w:sz="4" w:space="0"/>
            </w:tcBorders>
            <w:vAlign w:val="center"/>
          </w:tcPr>
          <w:p w14:paraId="0D4656F7">
            <w:pPr>
              <w:pageBreakBefore w:val="0"/>
              <w:kinsoku/>
              <w:wordWrap/>
              <w:overflowPunct/>
              <w:topLinePunct w:val="0"/>
              <w:autoSpaceDE/>
              <w:autoSpaceDN/>
              <w:bidi w:val="0"/>
              <w:adjustRightInd w:val="0"/>
              <w:snapToGrid w:val="0"/>
              <w:spacing w:beforeAutospacing="0" w:afterAutospacing="0" w:line="240" w:lineRule="auto"/>
              <w:jc w:val="center"/>
              <w:rPr>
                <w:rFonts w:eastAsia="微软雅黑 Light" w:cs="Times New Roman"/>
                <w:color w:val="auto"/>
                <w:spacing w:val="6"/>
              </w:rPr>
            </w:pPr>
          </w:p>
        </w:tc>
      </w:tr>
      <w:tr w14:paraId="70CB5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gridSpan w:val="2"/>
            <w:tcBorders>
              <w:top w:val="single" w:color="auto" w:sz="4" w:space="0"/>
              <w:left w:val="single" w:color="auto" w:sz="4" w:space="0"/>
              <w:bottom w:val="single" w:color="auto" w:sz="4" w:space="0"/>
              <w:right w:val="single" w:color="auto" w:sz="4" w:space="0"/>
            </w:tcBorders>
            <w:vAlign w:val="center"/>
          </w:tcPr>
          <w:p w14:paraId="65929D19">
            <w:pPr>
              <w:pageBreakBefore w:val="0"/>
              <w:kinsoku/>
              <w:wordWrap/>
              <w:overflowPunct/>
              <w:topLinePunct w:val="0"/>
              <w:autoSpaceDE/>
              <w:autoSpaceDN/>
              <w:bidi w:val="0"/>
              <w:adjustRightInd w:val="0"/>
              <w:snapToGrid w:val="0"/>
              <w:spacing w:beforeAutospacing="0" w:afterAutospacing="0" w:line="240" w:lineRule="auto"/>
              <w:jc w:val="center"/>
              <w:rPr>
                <w:rFonts w:eastAsia="微软雅黑 Light" w:cs="Times New Roman"/>
                <w:color w:val="auto"/>
                <w:spacing w:val="6"/>
              </w:rPr>
            </w:pPr>
            <w:r>
              <w:rPr>
                <w:rFonts w:hint="eastAsia" w:ascii="微软雅黑 Light" w:hAnsi="微软雅黑 Light" w:eastAsia="微软雅黑 Light" w:cs="Times New Roman"/>
                <w:color w:val="auto"/>
                <w:spacing w:val="6"/>
              </w:rPr>
              <w:t>总计</w:t>
            </w:r>
          </w:p>
        </w:tc>
        <w:tc>
          <w:tcPr>
            <w:tcW w:w="11768" w:type="dxa"/>
            <w:gridSpan w:val="6"/>
            <w:tcBorders>
              <w:top w:val="single" w:color="auto" w:sz="4" w:space="0"/>
              <w:left w:val="nil"/>
              <w:bottom w:val="single" w:color="auto" w:sz="4" w:space="0"/>
              <w:right w:val="single" w:color="auto" w:sz="4" w:space="0"/>
            </w:tcBorders>
            <w:vAlign w:val="center"/>
          </w:tcPr>
          <w:p w14:paraId="2133BC1F">
            <w:pPr>
              <w:pageBreakBefore w:val="0"/>
              <w:kinsoku/>
              <w:wordWrap/>
              <w:overflowPunct/>
              <w:topLinePunct w:val="0"/>
              <w:autoSpaceDE/>
              <w:autoSpaceDN/>
              <w:bidi w:val="0"/>
              <w:adjustRightInd w:val="0"/>
              <w:snapToGrid w:val="0"/>
              <w:spacing w:beforeAutospacing="0" w:afterAutospacing="0" w:line="240" w:lineRule="auto"/>
              <w:jc w:val="center"/>
              <w:rPr>
                <w:rFonts w:hint="default" w:eastAsia="微软雅黑 Light" w:cs="Times New Roman"/>
                <w:color w:val="auto"/>
                <w:spacing w:val="6"/>
                <w:lang w:val="en-US" w:eastAsia="zh-CN"/>
              </w:rPr>
            </w:pPr>
          </w:p>
        </w:tc>
      </w:tr>
    </w:tbl>
    <w:p w14:paraId="04431FC1">
      <w:pPr>
        <w:pageBreakBefore w:val="0"/>
        <w:kinsoku/>
        <w:wordWrap/>
        <w:overflowPunct/>
        <w:topLinePunct w:val="0"/>
        <w:autoSpaceDE/>
        <w:autoSpaceDN/>
        <w:bidi w:val="0"/>
        <w:adjustRightInd w:val="0"/>
        <w:snapToGrid w:val="0"/>
        <w:spacing w:beforeAutospacing="0" w:afterAutospacing="0" w:line="360" w:lineRule="auto"/>
        <w:rPr>
          <w:rFonts w:ascii="Calibri" w:hAnsi="Calibri" w:eastAsia="微软雅黑" w:cs="Times New Roman"/>
          <w:color w:val="auto"/>
          <w:sz w:val="24"/>
        </w:rPr>
      </w:pPr>
    </w:p>
    <w:p w14:paraId="65CB674E">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2、文港路校区</w:t>
      </w:r>
    </w:p>
    <w:tbl>
      <w:tblPr>
        <w:tblStyle w:val="9"/>
        <w:tblW w:w="141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557"/>
        <w:gridCol w:w="7677"/>
        <w:gridCol w:w="691"/>
        <w:gridCol w:w="673"/>
        <w:gridCol w:w="881"/>
        <w:gridCol w:w="828"/>
        <w:gridCol w:w="1018"/>
      </w:tblGrid>
      <w:tr w14:paraId="537EE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19" w:type="dxa"/>
            <w:tcBorders>
              <w:top w:val="single" w:color="auto" w:sz="4" w:space="0"/>
              <w:left w:val="single" w:color="auto" w:sz="4" w:space="0"/>
              <w:bottom w:val="single" w:color="auto" w:sz="4" w:space="0"/>
              <w:right w:val="single" w:color="auto" w:sz="4" w:space="0"/>
            </w:tcBorders>
            <w:vAlign w:val="center"/>
          </w:tcPr>
          <w:p w14:paraId="30B9059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序号</w:t>
            </w:r>
          </w:p>
        </w:tc>
        <w:tc>
          <w:tcPr>
            <w:tcW w:w="1557" w:type="dxa"/>
            <w:tcBorders>
              <w:top w:val="single" w:color="auto" w:sz="4" w:space="0"/>
              <w:left w:val="nil"/>
              <w:bottom w:val="single" w:color="auto" w:sz="4" w:space="0"/>
              <w:right w:val="single" w:color="auto" w:sz="4" w:space="0"/>
            </w:tcBorders>
            <w:vAlign w:val="center"/>
          </w:tcPr>
          <w:p w14:paraId="27EB2D1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产品名称</w:t>
            </w:r>
          </w:p>
        </w:tc>
        <w:tc>
          <w:tcPr>
            <w:tcW w:w="7677" w:type="dxa"/>
            <w:tcBorders>
              <w:top w:val="single" w:color="auto" w:sz="4" w:space="0"/>
              <w:left w:val="nil"/>
              <w:bottom w:val="single" w:color="auto" w:sz="4" w:space="0"/>
              <w:right w:val="single" w:color="auto" w:sz="4" w:space="0"/>
            </w:tcBorders>
            <w:vAlign w:val="center"/>
          </w:tcPr>
          <w:p w14:paraId="0D2CF50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规格型号</w:t>
            </w:r>
          </w:p>
        </w:tc>
        <w:tc>
          <w:tcPr>
            <w:tcW w:w="691" w:type="dxa"/>
            <w:tcBorders>
              <w:top w:val="single" w:color="auto" w:sz="4" w:space="0"/>
              <w:left w:val="nil"/>
              <w:bottom w:val="single" w:color="auto" w:sz="4" w:space="0"/>
              <w:right w:val="single" w:color="auto" w:sz="4" w:space="0"/>
            </w:tcBorders>
            <w:vAlign w:val="center"/>
          </w:tcPr>
          <w:p w14:paraId="6A6B847D">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单位</w:t>
            </w:r>
          </w:p>
        </w:tc>
        <w:tc>
          <w:tcPr>
            <w:tcW w:w="673" w:type="dxa"/>
            <w:tcBorders>
              <w:top w:val="single" w:color="auto" w:sz="4" w:space="0"/>
              <w:left w:val="nil"/>
              <w:bottom w:val="single" w:color="auto" w:sz="4" w:space="0"/>
              <w:right w:val="single" w:color="auto" w:sz="4" w:space="0"/>
            </w:tcBorders>
            <w:vAlign w:val="center"/>
          </w:tcPr>
          <w:p w14:paraId="28BD646D">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数量</w:t>
            </w:r>
          </w:p>
        </w:tc>
        <w:tc>
          <w:tcPr>
            <w:tcW w:w="881" w:type="dxa"/>
            <w:tcBorders>
              <w:top w:val="single" w:color="auto" w:sz="4" w:space="0"/>
              <w:left w:val="nil"/>
              <w:bottom w:val="single" w:color="auto" w:sz="4" w:space="0"/>
              <w:right w:val="single" w:color="auto" w:sz="4" w:space="0"/>
            </w:tcBorders>
            <w:vAlign w:val="center"/>
          </w:tcPr>
          <w:p w14:paraId="4D337CF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rPr>
              <w:t>单价</w:t>
            </w:r>
            <w:r>
              <w:rPr>
                <w:rFonts w:hint="eastAsia" w:ascii="宋体" w:hAnsi="宋体" w:eastAsia="宋体" w:cs="宋体"/>
                <w:b/>
                <w:bCs/>
                <w:color w:val="auto"/>
                <w:spacing w:val="6"/>
                <w:lang w:eastAsia="zh-CN"/>
              </w:rPr>
              <w:t>（</w:t>
            </w:r>
            <w:r>
              <w:rPr>
                <w:rFonts w:hint="eastAsia" w:ascii="宋体" w:hAnsi="宋体" w:eastAsia="宋体" w:cs="宋体"/>
                <w:b/>
                <w:bCs/>
                <w:color w:val="auto"/>
                <w:spacing w:val="6"/>
                <w:lang w:val="en-US" w:eastAsia="zh-CN"/>
              </w:rPr>
              <w:t>元</w:t>
            </w:r>
            <w:r>
              <w:rPr>
                <w:rFonts w:hint="eastAsia" w:ascii="宋体" w:hAnsi="宋体" w:eastAsia="宋体" w:cs="宋体"/>
                <w:b/>
                <w:bCs/>
                <w:color w:val="auto"/>
                <w:spacing w:val="6"/>
                <w:lang w:eastAsia="zh-CN"/>
              </w:rPr>
              <w:t>）</w:t>
            </w:r>
          </w:p>
        </w:tc>
        <w:tc>
          <w:tcPr>
            <w:tcW w:w="828" w:type="dxa"/>
            <w:tcBorders>
              <w:top w:val="single" w:color="auto" w:sz="4" w:space="0"/>
              <w:left w:val="nil"/>
              <w:bottom w:val="single" w:color="auto" w:sz="4" w:space="0"/>
              <w:right w:val="single" w:color="auto" w:sz="4" w:space="0"/>
            </w:tcBorders>
            <w:vAlign w:val="center"/>
          </w:tcPr>
          <w:p w14:paraId="0C80DB0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rPr>
              <w:t>合价</w:t>
            </w:r>
            <w:r>
              <w:rPr>
                <w:rFonts w:hint="eastAsia" w:ascii="宋体" w:hAnsi="宋体" w:eastAsia="宋体" w:cs="宋体"/>
                <w:b/>
                <w:bCs/>
                <w:color w:val="auto"/>
                <w:spacing w:val="6"/>
                <w:lang w:eastAsia="zh-CN"/>
              </w:rPr>
              <w:t>（</w:t>
            </w:r>
            <w:r>
              <w:rPr>
                <w:rFonts w:hint="eastAsia" w:ascii="宋体" w:hAnsi="宋体" w:eastAsia="宋体" w:cs="宋体"/>
                <w:b/>
                <w:bCs/>
                <w:color w:val="auto"/>
                <w:spacing w:val="6"/>
                <w:lang w:val="en-US" w:eastAsia="zh-CN"/>
              </w:rPr>
              <w:t>元</w:t>
            </w:r>
            <w:r>
              <w:rPr>
                <w:rFonts w:hint="eastAsia" w:ascii="宋体" w:hAnsi="宋体" w:eastAsia="宋体" w:cs="宋体"/>
                <w:b/>
                <w:bCs/>
                <w:color w:val="auto"/>
                <w:spacing w:val="6"/>
                <w:lang w:eastAsia="zh-CN"/>
              </w:rPr>
              <w:t>）</w:t>
            </w:r>
          </w:p>
        </w:tc>
        <w:tc>
          <w:tcPr>
            <w:tcW w:w="1018" w:type="dxa"/>
            <w:tcBorders>
              <w:top w:val="single" w:color="auto" w:sz="4" w:space="0"/>
              <w:left w:val="nil"/>
              <w:bottom w:val="single" w:color="auto" w:sz="4" w:space="0"/>
              <w:right w:val="single" w:color="auto" w:sz="4" w:space="0"/>
            </w:tcBorders>
            <w:vAlign w:val="center"/>
          </w:tcPr>
          <w:p w14:paraId="5123562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备注</w:t>
            </w:r>
          </w:p>
        </w:tc>
      </w:tr>
      <w:tr w14:paraId="7A0ED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3CBF99B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1</w:t>
            </w:r>
          </w:p>
        </w:tc>
        <w:tc>
          <w:tcPr>
            <w:tcW w:w="1557" w:type="dxa"/>
            <w:tcBorders>
              <w:top w:val="single" w:color="auto" w:sz="4" w:space="0"/>
              <w:left w:val="nil"/>
              <w:bottom w:val="single" w:color="auto" w:sz="4" w:space="0"/>
              <w:right w:val="single" w:color="auto" w:sz="4" w:space="0"/>
            </w:tcBorders>
            <w:vAlign w:val="center"/>
          </w:tcPr>
          <w:p w14:paraId="72DFF85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水</w:t>
            </w:r>
            <w:r>
              <w:rPr>
                <w:rFonts w:hint="eastAsia" w:ascii="宋体" w:hAnsi="宋体" w:eastAsia="宋体" w:cs="宋体"/>
                <w:color w:val="auto"/>
                <w:spacing w:val="6"/>
                <w:sz w:val="21"/>
                <w:szCs w:val="21"/>
                <w:lang w:val="en-US" w:eastAsia="zh-CN"/>
              </w:rPr>
              <w:t>电</w:t>
            </w:r>
            <w:r>
              <w:rPr>
                <w:rFonts w:hint="eastAsia" w:ascii="宋体" w:hAnsi="宋体" w:eastAsia="宋体" w:cs="宋体"/>
                <w:color w:val="auto"/>
                <w:spacing w:val="6"/>
                <w:sz w:val="21"/>
                <w:szCs w:val="21"/>
              </w:rPr>
              <w:t>能源计量节能监管系统软件</w:t>
            </w:r>
          </w:p>
        </w:tc>
        <w:tc>
          <w:tcPr>
            <w:tcW w:w="7677" w:type="dxa"/>
            <w:tcBorders>
              <w:top w:val="single" w:color="auto" w:sz="4" w:space="0"/>
              <w:left w:val="nil"/>
              <w:bottom w:val="single" w:color="auto" w:sz="4" w:space="0"/>
              <w:right w:val="single" w:color="auto" w:sz="4" w:space="0"/>
            </w:tcBorders>
            <w:vAlign w:val="center"/>
          </w:tcPr>
          <w:p w14:paraId="09B2C04B">
            <w:pPr>
              <w:jc w:val="left"/>
              <w:rPr>
                <w:rFonts w:hint="eastAsia"/>
              </w:rPr>
            </w:pPr>
            <w:r>
              <w:rPr>
                <w:rFonts w:hint="eastAsia"/>
              </w:rPr>
              <w:t>1、软件采用 B/S 架构，前后端分离，完美支持二次开发，支持云端部署。</w:t>
            </w:r>
          </w:p>
          <w:p w14:paraId="40305C80">
            <w:pPr>
              <w:jc w:val="left"/>
              <w:rPr>
                <w:rFonts w:hint="eastAsia"/>
              </w:rPr>
            </w:pPr>
            <w:r>
              <w:rPr>
                <w:rFonts w:hint="eastAsia"/>
              </w:rPr>
              <w:t>2、物联网远程采集水、电、气、热分类能源资源数据，采集周期可设。</w:t>
            </w:r>
          </w:p>
          <w:p w14:paraId="23E251F5">
            <w:pPr>
              <w:jc w:val="left"/>
              <w:rPr>
                <w:rFonts w:hint="eastAsia"/>
              </w:rPr>
            </w:pPr>
            <w:r>
              <w:rPr>
                <w:rFonts w:hint="eastAsia"/>
              </w:rPr>
              <w:t>3、远程采集温度、湿度、空气质量及有害气体数据，实现环境在线监测。</w:t>
            </w:r>
          </w:p>
          <w:p w14:paraId="67EED88F">
            <w:pPr>
              <w:jc w:val="left"/>
              <w:rPr>
                <w:rFonts w:hint="eastAsia"/>
              </w:rPr>
            </w:pPr>
            <w:r>
              <w:rPr>
                <w:rFonts w:hint="eastAsia"/>
              </w:rPr>
              <w:t>4、对能源数据进行分类、分项（空调、动力、照明插座、特殊用电）统计、实时数据监测、报表导出打印。</w:t>
            </w:r>
          </w:p>
          <w:p w14:paraId="2934B568">
            <w:pPr>
              <w:jc w:val="left"/>
              <w:rPr>
                <w:rFonts w:hint="eastAsia"/>
              </w:rPr>
            </w:pPr>
            <w:r>
              <w:rPr>
                <w:rFonts w:hint="eastAsia"/>
              </w:rPr>
              <w:t>5、设备状态监测，重点设备监测，通讯网络监测，导入控制策略，可实现设备节能模式运行。</w:t>
            </w:r>
          </w:p>
          <w:p w14:paraId="037F7958">
            <w:pPr>
              <w:jc w:val="left"/>
              <w:rPr>
                <w:rFonts w:hint="eastAsia"/>
              </w:rPr>
            </w:pPr>
            <w:r>
              <w:t>6</w:t>
            </w:r>
            <w:r>
              <w:rPr>
                <w:rFonts w:hint="eastAsia"/>
              </w:rPr>
              <w:t>、AI 智能分析，数据模型建立，能耗趋势预测，阈值超标警示，运行故障报警，数据异常报警。</w:t>
            </w:r>
          </w:p>
          <w:p w14:paraId="63C34A5E">
            <w:pPr>
              <w:jc w:val="left"/>
              <w:rPr>
                <w:rFonts w:hint="eastAsia"/>
              </w:rPr>
            </w:pPr>
            <w:r>
              <w:rPr>
                <w:rFonts w:hint="eastAsia"/>
              </w:rPr>
              <w:t>7、单位面积能耗、单位产量能耗、标杆能耗设定。</w:t>
            </w:r>
          </w:p>
          <w:p w14:paraId="5665B23B">
            <w:pPr>
              <w:jc w:val="left"/>
              <w:rPr>
                <w:rFonts w:hint="eastAsia"/>
              </w:rPr>
            </w:pPr>
            <w:r>
              <w:rPr>
                <w:rFonts w:hint="eastAsia"/>
              </w:rPr>
              <w:t>8、对数据进行同比环比、排名对比分析、综合能源审计。</w:t>
            </w:r>
          </w:p>
          <w:p w14:paraId="3E64EC3B">
            <w:pPr>
              <w:jc w:val="left"/>
              <w:rPr>
                <w:rFonts w:hint="eastAsia"/>
              </w:rPr>
            </w:pPr>
            <w:r>
              <w:rPr>
                <w:rFonts w:hint="eastAsia"/>
              </w:rPr>
              <w:t>9、对能耗数据进行柱图、线图、饼图等各种形式对比显示、系统实时状态展示，实现数据可视化运行。</w:t>
            </w:r>
          </w:p>
          <w:p w14:paraId="5DCFEC5A">
            <w:pPr>
              <w:jc w:val="left"/>
              <w:rPr>
                <w:rFonts w:hint="eastAsia"/>
              </w:rPr>
            </w:pPr>
            <w:r>
              <w:rPr>
                <w:rFonts w:hint="eastAsia"/>
              </w:rPr>
              <w:t>9、数据存储、备份，支持远程异地备份。</w:t>
            </w:r>
          </w:p>
          <w:p w14:paraId="74F7E16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pacing w:val="6"/>
                <w:sz w:val="21"/>
                <w:szCs w:val="21"/>
                <w:lang w:val="en-US" w:eastAsia="zh-CN"/>
              </w:rPr>
            </w:pPr>
            <w:r>
              <w:rPr>
                <w:rFonts w:hint="eastAsia"/>
              </w:rPr>
              <w:t>1</w:t>
            </w:r>
            <w:r>
              <w:t>0</w:t>
            </w:r>
            <w:r>
              <w:rPr>
                <w:rFonts w:hint="eastAsia"/>
              </w:rPr>
              <w:t>、标准第三方应用 API 接口、上传至省市级平台。</w:t>
            </w:r>
          </w:p>
        </w:tc>
        <w:tc>
          <w:tcPr>
            <w:tcW w:w="691" w:type="dxa"/>
            <w:tcBorders>
              <w:top w:val="single" w:color="auto" w:sz="4" w:space="0"/>
              <w:left w:val="nil"/>
              <w:bottom w:val="single" w:color="auto" w:sz="4" w:space="0"/>
              <w:right w:val="single" w:color="auto" w:sz="4" w:space="0"/>
            </w:tcBorders>
            <w:vAlign w:val="center"/>
          </w:tcPr>
          <w:p w14:paraId="7EF31BCC">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台</w:t>
            </w:r>
          </w:p>
        </w:tc>
        <w:tc>
          <w:tcPr>
            <w:tcW w:w="673" w:type="dxa"/>
            <w:tcBorders>
              <w:top w:val="single" w:color="auto" w:sz="4" w:space="0"/>
              <w:left w:val="nil"/>
              <w:bottom w:val="single" w:color="auto" w:sz="4" w:space="0"/>
              <w:right w:val="single" w:color="auto" w:sz="4" w:space="0"/>
            </w:tcBorders>
            <w:vAlign w:val="center"/>
          </w:tcPr>
          <w:p w14:paraId="38832CB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1</w:t>
            </w:r>
          </w:p>
        </w:tc>
        <w:tc>
          <w:tcPr>
            <w:tcW w:w="881" w:type="dxa"/>
            <w:tcBorders>
              <w:top w:val="single" w:color="auto" w:sz="4" w:space="0"/>
              <w:left w:val="nil"/>
              <w:bottom w:val="single" w:color="auto" w:sz="4" w:space="0"/>
              <w:right w:val="single" w:color="auto" w:sz="4" w:space="0"/>
            </w:tcBorders>
            <w:vAlign w:val="center"/>
          </w:tcPr>
          <w:p w14:paraId="6733CF50">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vAlign w:val="center"/>
          </w:tcPr>
          <w:p w14:paraId="6537E98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66F54E1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7000D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2D2DE03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2</w:t>
            </w:r>
          </w:p>
        </w:tc>
        <w:tc>
          <w:tcPr>
            <w:tcW w:w="1557" w:type="dxa"/>
            <w:tcBorders>
              <w:top w:val="single" w:color="auto" w:sz="4" w:space="0"/>
              <w:left w:val="nil"/>
              <w:bottom w:val="single" w:color="auto" w:sz="4" w:space="0"/>
              <w:right w:val="single" w:color="auto" w:sz="4" w:space="0"/>
            </w:tcBorders>
            <w:shd w:val="clear" w:color="auto" w:fill="auto"/>
            <w:vAlign w:val="center"/>
          </w:tcPr>
          <w:p w14:paraId="13BE3CD5">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4G三相远程电能表</w:t>
            </w:r>
          </w:p>
        </w:tc>
        <w:tc>
          <w:tcPr>
            <w:tcW w:w="7677" w:type="dxa"/>
            <w:tcBorders>
              <w:top w:val="single" w:color="auto" w:sz="4" w:space="0"/>
              <w:left w:val="nil"/>
              <w:bottom w:val="single" w:color="auto" w:sz="4" w:space="0"/>
              <w:right w:val="single" w:color="auto" w:sz="4" w:space="0"/>
            </w:tcBorders>
            <w:vAlign w:val="center"/>
          </w:tcPr>
          <w:p w14:paraId="1173855A">
            <w:pPr>
              <w:jc w:val="left"/>
              <w:rPr>
                <w:rFonts w:eastAsia="宋体" w:cs="Times New Roman"/>
              </w:rPr>
            </w:pPr>
            <w:r>
              <w:rPr>
                <w:rFonts w:hint="eastAsia"/>
              </w:rPr>
              <w:t>1</w:t>
            </w:r>
            <w:r>
              <w:rPr>
                <w:rFonts w:hint="eastAsia" w:ascii="宋体" w:hAnsi="宋体" w:cs="Times New Roman"/>
              </w:rPr>
              <w:t xml:space="preserve">、型号规格： </w:t>
            </w:r>
            <w:r>
              <w:rPr>
                <w:rFonts w:hint="eastAsia"/>
              </w:rPr>
              <w:t>3</w:t>
            </w:r>
            <w:r>
              <w:rPr>
                <w:rFonts w:hint="eastAsia" w:ascii="宋体" w:hAnsi="宋体" w:cs="Times New Roman"/>
              </w:rPr>
              <w:t>×</w:t>
            </w:r>
            <w:r>
              <w:rPr>
                <w:rFonts w:hint="eastAsia"/>
              </w:rPr>
              <w:t xml:space="preserve">220/380V </w:t>
            </w:r>
            <w:r>
              <w:t xml:space="preserve"> </w:t>
            </w:r>
            <w:r>
              <w:rPr>
                <w:rFonts w:hint="eastAsia"/>
              </w:rPr>
              <w:t>0.015-0.075(6)A</w:t>
            </w:r>
            <w:r>
              <w:rPr>
                <w:rFonts w:hint="eastAsia" w:ascii="宋体" w:hAnsi="宋体" w:cs="Times New Roman"/>
              </w:rPr>
              <w:t>、</w:t>
            </w:r>
            <w:r>
              <w:rPr>
                <w:rFonts w:hint="eastAsia"/>
              </w:rPr>
              <w:t>0.05-0.25(60)A</w:t>
            </w:r>
            <w:r>
              <w:rPr>
                <w:rFonts w:hint="eastAsia" w:ascii="宋体" w:hAnsi="宋体" w:cs="Times New Roman"/>
              </w:rPr>
              <w:t>、</w:t>
            </w:r>
            <w:r>
              <w:rPr>
                <w:rFonts w:hint="eastAsia"/>
              </w:rPr>
              <w:t>0.1-0.5(100)A</w:t>
            </w:r>
          </w:p>
          <w:p w14:paraId="39C4EAC7">
            <w:pPr>
              <w:jc w:val="left"/>
              <w:rPr>
                <w:rFonts w:hint="eastAsia" w:cs="Times New Roman"/>
              </w:rPr>
            </w:pPr>
            <w:r>
              <w:rPr>
                <w:rFonts w:hint="eastAsia"/>
              </w:rPr>
              <w:t>2</w:t>
            </w:r>
            <w:r>
              <w:rPr>
                <w:rFonts w:hint="eastAsia" w:ascii="宋体" w:hAnsi="宋体" w:cs="Times New Roman"/>
              </w:rPr>
              <w:t>、准确度等级</w:t>
            </w:r>
            <w:r>
              <w:rPr>
                <w:rFonts w:hint="eastAsia"/>
              </w:rPr>
              <w:t>/</w:t>
            </w:r>
            <w:r>
              <w:rPr>
                <w:rFonts w:hint="eastAsia" w:ascii="宋体" w:hAnsi="宋体" w:cs="Times New Roman"/>
              </w:rPr>
              <w:t>最大允许误差：有功</w:t>
            </w:r>
            <w:r>
              <w:rPr>
                <w:rFonts w:hint="eastAsia"/>
              </w:rPr>
              <w:t>C</w:t>
            </w:r>
            <w:r>
              <w:rPr>
                <w:rFonts w:hint="eastAsia" w:ascii="宋体" w:hAnsi="宋体" w:cs="Times New Roman"/>
              </w:rPr>
              <w:t>级</w:t>
            </w:r>
          </w:p>
          <w:p w14:paraId="42D9D8A8">
            <w:pPr>
              <w:jc w:val="left"/>
              <w:rPr>
                <w:rFonts w:hint="eastAsia" w:cs="Times New Roman"/>
              </w:rPr>
            </w:pPr>
            <w:r>
              <w:rPr>
                <w:rFonts w:hint="eastAsia"/>
              </w:rPr>
              <w:t>3</w:t>
            </w:r>
            <w:r>
              <w:rPr>
                <w:rFonts w:hint="eastAsia" w:ascii="宋体" w:hAnsi="宋体" w:cs="Times New Roman"/>
              </w:rPr>
              <w:t>、电表符合</w:t>
            </w:r>
            <w:r>
              <w:rPr>
                <w:rFonts w:hint="eastAsia"/>
              </w:rPr>
              <w:t>DL/T 1485-2015</w:t>
            </w:r>
            <w:r>
              <w:rPr>
                <w:rFonts w:hint="eastAsia" w:ascii="宋体" w:hAnsi="宋体" w:cs="Times New Roman"/>
              </w:rPr>
              <w:t>《三相智能电能表技术规范》、</w:t>
            </w:r>
            <w:r>
              <w:rPr>
                <w:rFonts w:hint="eastAsia"/>
              </w:rPr>
              <w:t>DL/T 1489-2015</w:t>
            </w:r>
            <w:r>
              <w:rPr>
                <w:rFonts w:hint="eastAsia" w:ascii="宋体" w:hAnsi="宋体" w:cs="Times New Roman"/>
              </w:rPr>
              <w:t>《三相智能电能表型式规范》、</w:t>
            </w:r>
            <w:r>
              <w:rPr>
                <w:rFonts w:hint="eastAsia"/>
              </w:rPr>
              <w:t>DL/T 1490-2015</w:t>
            </w:r>
            <w:r>
              <w:rPr>
                <w:rFonts w:hint="eastAsia" w:ascii="宋体" w:hAnsi="宋体" w:cs="Times New Roman"/>
              </w:rPr>
              <w:t>《智能电能表功能规范》、</w:t>
            </w:r>
            <w:r>
              <w:rPr>
                <w:rFonts w:hint="eastAsia"/>
              </w:rPr>
              <w:t>GB/T 17215.321-2021</w:t>
            </w:r>
            <w:r>
              <w:rPr>
                <w:rFonts w:hint="eastAsia" w:ascii="宋体" w:hAnsi="宋体" w:cs="Times New Roman"/>
              </w:rPr>
              <w:t>《电测量设备</w:t>
            </w:r>
            <w:r>
              <w:rPr>
                <w:rFonts w:hint="eastAsia"/>
              </w:rPr>
              <w:t>(</w:t>
            </w:r>
            <w:r>
              <w:rPr>
                <w:rFonts w:hint="eastAsia" w:ascii="宋体" w:hAnsi="宋体" w:cs="Times New Roman"/>
              </w:rPr>
              <w:t>交流</w:t>
            </w:r>
            <w:r>
              <w:rPr>
                <w:rFonts w:hint="eastAsia"/>
              </w:rPr>
              <w:t>)</w:t>
            </w:r>
            <w:r>
              <w:rPr>
                <w:rFonts w:hint="eastAsia" w:ascii="宋体" w:hAnsi="宋体" w:cs="Times New Roman"/>
              </w:rPr>
              <w:t>特殊要求第</w:t>
            </w:r>
            <w:r>
              <w:rPr>
                <w:rFonts w:hint="eastAsia"/>
              </w:rPr>
              <w:t>21</w:t>
            </w:r>
            <w:r>
              <w:rPr>
                <w:rFonts w:hint="eastAsia" w:ascii="宋体" w:hAnsi="宋体" w:cs="Times New Roman"/>
              </w:rPr>
              <w:t>部分：静止式有功电能表</w:t>
            </w:r>
            <w:r>
              <w:rPr>
                <w:rFonts w:hint="eastAsia"/>
              </w:rPr>
              <w:t xml:space="preserve">(A </w:t>
            </w:r>
            <w:r>
              <w:rPr>
                <w:rFonts w:hint="eastAsia" w:ascii="宋体" w:hAnsi="宋体" w:cs="Times New Roman"/>
              </w:rPr>
              <w:t>级、</w:t>
            </w:r>
            <w:r>
              <w:rPr>
                <w:rFonts w:hint="eastAsia"/>
              </w:rPr>
              <w:t>B</w:t>
            </w:r>
            <w:r>
              <w:rPr>
                <w:rFonts w:hint="eastAsia" w:ascii="宋体" w:hAnsi="宋体" w:cs="Times New Roman"/>
              </w:rPr>
              <w:t>级、</w:t>
            </w:r>
            <w:r>
              <w:rPr>
                <w:rFonts w:hint="eastAsia"/>
              </w:rPr>
              <w:t>C</w:t>
            </w:r>
            <w:r>
              <w:rPr>
                <w:rFonts w:hint="eastAsia" w:ascii="宋体" w:hAnsi="宋体" w:cs="Times New Roman"/>
              </w:rPr>
              <w:t>级、</w:t>
            </w:r>
            <w:r>
              <w:rPr>
                <w:rFonts w:hint="eastAsia"/>
              </w:rPr>
              <w:t>D</w:t>
            </w:r>
            <w:r>
              <w:rPr>
                <w:rFonts w:hint="eastAsia" w:ascii="宋体" w:hAnsi="宋体" w:cs="Times New Roman"/>
              </w:rPr>
              <w:t>级和</w:t>
            </w:r>
            <w:r>
              <w:rPr>
                <w:rFonts w:hint="eastAsia"/>
              </w:rPr>
              <w:t>E</w:t>
            </w:r>
            <w:r>
              <w:rPr>
                <w:rFonts w:hint="eastAsia" w:ascii="宋体" w:hAnsi="宋体" w:cs="Times New Roman"/>
              </w:rPr>
              <w:t>级</w:t>
            </w:r>
            <w:r>
              <w:rPr>
                <w:rFonts w:hint="eastAsia"/>
              </w:rPr>
              <w:t>)</w:t>
            </w:r>
            <w:r>
              <w:rPr>
                <w:rFonts w:hint="eastAsia" w:ascii="宋体" w:hAnsi="宋体" w:cs="Times New Roman"/>
              </w:rPr>
              <w:t>》，</w:t>
            </w:r>
            <w:r>
              <w:rPr>
                <w:rFonts w:hint="eastAsia"/>
              </w:rPr>
              <w:t>GB/T 17215.211-2021</w:t>
            </w:r>
            <w:r>
              <w:rPr>
                <w:rFonts w:hint="eastAsia" w:ascii="宋体" w:hAnsi="宋体" w:cs="Times New Roman"/>
              </w:rPr>
              <w:t>《电测量设备</w:t>
            </w:r>
            <w:r>
              <w:rPr>
                <w:rFonts w:hint="eastAsia"/>
              </w:rPr>
              <w:t>(</w:t>
            </w:r>
            <w:r>
              <w:rPr>
                <w:rFonts w:hint="eastAsia" w:ascii="宋体" w:hAnsi="宋体" w:cs="Times New Roman"/>
              </w:rPr>
              <w:t>交流</w:t>
            </w:r>
            <w:r>
              <w:rPr>
                <w:rFonts w:hint="eastAsia"/>
              </w:rPr>
              <w:t>)</w:t>
            </w:r>
            <w:r>
              <w:rPr>
                <w:rFonts w:hint="eastAsia" w:ascii="宋体" w:hAnsi="宋体" w:cs="Times New Roman"/>
              </w:rPr>
              <w:t>通用要求、试验和试验条件第</w:t>
            </w:r>
            <w:r>
              <w:rPr>
                <w:rFonts w:hint="eastAsia"/>
              </w:rPr>
              <w:t>11</w:t>
            </w:r>
            <w:r>
              <w:rPr>
                <w:rFonts w:hint="eastAsia" w:ascii="宋体" w:hAnsi="宋体" w:cs="Times New Roman"/>
              </w:rPr>
              <w:t>部分：测量 设备》，</w:t>
            </w:r>
            <w:r>
              <w:rPr>
                <w:rFonts w:hint="eastAsia"/>
              </w:rPr>
              <w:t>DL/T614-2007</w:t>
            </w:r>
            <w:r>
              <w:rPr>
                <w:rFonts w:hint="eastAsia" w:ascii="宋体" w:hAnsi="宋体" w:cs="Times New Roman"/>
              </w:rPr>
              <w:t>《多功能电能表》，《三相四线费控智能电能表测试大纲》</w:t>
            </w:r>
          </w:p>
          <w:p w14:paraId="5F74BD43">
            <w:pPr>
              <w:jc w:val="left"/>
              <w:rPr>
                <w:rFonts w:hint="eastAsia" w:cs="Times New Roman"/>
              </w:rPr>
            </w:pPr>
            <w:r>
              <w:rPr>
                <w:rFonts w:hint="eastAsia"/>
              </w:rPr>
              <w:t>4</w:t>
            </w:r>
            <w:r>
              <w:rPr>
                <w:rFonts w:hint="eastAsia" w:ascii="宋体" w:hAnsi="宋体" w:cs="Times New Roman"/>
              </w:rPr>
              <w:t>、电表在</w:t>
            </w:r>
            <w:r>
              <w:rPr>
                <w:rFonts w:hint="eastAsia"/>
              </w:rPr>
              <w:t>70</w:t>
            </w:r>
            <w:r>
              <w:rPr>
                <w:rFonts w:hint="eastAsia" w:ascii="宋体" w:hAnsi="宋体" w:cs="Times New Roman"/>
              </w:rPr>
              <w:t>℃的高温试验下，持续保持</w:t>
            </w:r>
            <w:r>
              <w:rPr>
                <w:rFonts w:hint="eastAsia"/>
              </w:rPr>
              <w:t>2h</w:t>
            </w:r>
            <w:r>
              <w:rPr>
                <w:rFonts w:hint="eastAsia" w:ascii="宋体" w:hAnsi="宋体" w:cs="Times New Roman"/>
              </w:rPr>
              <w:t>，电表能正常工作。</w:t>
            </w:r>
          </w:p>
          <w:p w14:paraId="42EA27BB">
            <w:pPr>
              <w:jc w:val="left"/>
              <w:rPr>
                <w:rFonts w:hint="eastAsia" w:cs="Times New Roman"/>
              </w:rPr>
            </w:pPr>
            <w:r>
              <w:rPr>
                <w:rFonts w:hint="eastAsia"/>
              </w:rPr>
              <w:t>5</w:t>
            </w:r>
            <w:r>
              <w:rPr>
                <w:rFonts w:hint="eastAsia" w:ascii="宋体" w:hAnsi="宋体" w:cs="Times New Roman"/>
              </w:rPr>
              <w:t>、电表在</w:t>
            </w:r>
            <w:r>
              <w:rPr>
                <w:rFonts w:hint="eastAsia"/>
              </w:rPr>
              <w:t>-40</w:t>
            </w:r>
            <w:r>
              <w:rPr>
                <w:rFonts w:hint="eastAsia" w:ascii="宋体" w:hAnsi="宋体" w:cs="Times New Roman"/>
              </w:rPr>
              <w:t>℃的低温试验下，持续保持</w:t>
            </w:r>
            <w:r>
              <w:rPr>
                <w:rFonts w:hint="eastAsia"/>
              </w:rPr>
              <w:t>2h</w:t>
            </w:r>
            <w:r>
              <w:rPr>
                <w:rFonts w:hint="eastAsia" w:ascii="宋体" w:hAnsi="宋体" w:cs="Times New Roman"/>
              </w:rPr>
              <w:t>，电表能正常工作。电表有功功耗≤</w:t>
            </w:r>
            <w:r>
              <w:rPr>
                <w:rFonts w:hint="eastAsia"/>
              </w:rPr>
              <w:t>0.25W</w:t>
            </w:r>
            <w:r>
              <w:rPr>
                <w:rFonts w:hint="eastAsia" w:ascii="宋体" w:hAnsi="宋体" w:cs="Times New Roman"/>
              </w:rPr>
              <w:t>，视在功耗≤</w:t>
            </w:r>
            <w:r>
              <w:rPr>
                <w:rFonts w:hint="eastAsia"/>
              </w:rPr>
              <w:t>1VA</w:t>
            </w:r>
          </w:p>
          <w:p w14:paraId="048116AA">
            <w:pPr>
              <w:jc w:val="left"/>
              <w:rPr>
                <w:rFonts w:hint="eastAsia" w:cs="Times New Roman"/>
              </w:rPr>
            </w:pPr>
            <w:r>
              <w:rPr>
                <w:rFonts w:hint="eastAsia"/>
              </w:rPr>
              <w:t>6</w:t>
            </w:r>
            <w:r>
              <w:rPr>
                <w:rFonts w:hint="eastAsia" w:ascii="宋体" w:hAnsi="宋体" w:cs="Times New Roman"/>
              </w:rPr>
              <w:t>、电表在参比温度下，仪表内部时钟准确度应优于±</w:t>
            </w:r>
            <w:r>
              <w:rPr>
                <w:rFonts w:hint="eastAsia"/>
              </w:rPr>
              <w:t>0.5 s/24 h</w:t>
            </w:r>
            <w:r>
              <w:rPr>
                <w:rFonts w:hint="eastAsia" w:ascii="宋体" w:hAnsi="宋体" w:cs="Times New Roman"/>
              </w:rPr>
              <w:t>。</w:t>
            </w:r>
          </w:p>
          <w:p w14:paraId="29BCFDE4">
            <w:pPr>
              <w:jc w:val="left"/>
              <w:rPr>
                <w:rFonts w:hint="eastAsia" w:cs="Times New Roman"/>
              </w:rPr>
            </w:pPr>
            <w:r>
              <w:rPr>
                <w:rFonts w:hint="eastAsia"/>
              </w:rPr>
              <w:t>7</w:t>
            </w:r>
            <w:r>
              <w:rPr>
                <w:rFonts w:hint="eastAsia" w:ascii="宋体" w:hAnsi="宋体" w:cs="Times New Roman"/>
              </w:rPr>
              <w:t>、电表在仪表额定温度范围内，内部时钟准确度应优于±</w:t>
            </w:r>
            <w:r>
              <w:rPr>
                <w:rFonts w:hint="eastAsia"/>
              </w:rPr>
              <w:t>1 s/24 h</w:t>
            </w:r>
            <w:r>
              <w:rPr>
                <w:rFonts w:hint="eastAsia" w:ascii="宋体" w:hAnsi="宋体" w:cs="Times New Roman"/>
              </w:rPr>
              <w:t>。</w:t>
            </w:r>
          </w:p>
          <w:p w14:paraId="61F53177">
            <w:pPr>
              <w:jc w:val="left"/>
              <w:rPr>
                <w:rFonts w:hint="eastAsia" w:cs="Times New Roman"/>
              </w:rPr>
            </w:pPr>
            <w:r>
              <w:rPr>
                <w:rFonts w:hint="eastAsia"/>
              </w:rPr>
              <w:t>8</w:t>
            </w:r>
            <w:r>
              <w:rPr>
                <w:rFonts w:hint="eastAsia" w:ascii="宋体" w:hAnsi="宋体" w:cs="Times New Roman"/>
              </w:rPr>
              <w:t>、电表安装尺寸为</w:t>
            </w:r>
            <w:r>
              <w:rPr>
                <w:rFonts w:hint="eastAsia"/>
              </w:rPr>
              <w:t>290mm</w:t>
            </w:r>
            <w:r>
              <w:rPr>
                <w:rFonts w:hint="eastAsia" w:ascii="宋体" w:hAnsi="宋体" w:cs="Times New Roman"/>
              </w:rPr>
              <w:t>±</w:t>
            </w:r>
            <w:r>
              <w:rPr>
                <w:rFonts w:hint="eastAsia"/>
              </w:rPr>
              <w:t>1mm(</w:t>
            </w:r>
            <w:r>
              <w:rPr>
                <w:rFonts w:hint="eastAsia" w:ascii="宋体" w:hAnsi="宋体" w:cs="Times New Roman"/>
              </w:rPr>
              <w:t>高</w:t>
            </w:r>
            <w:r>
              <w:rPr>
                <w:rFonts w:hint="eastAsia"/>
              </w:rPr>
              <w:t>)</w:t>
            </w:r>
            <w:r>
              <w:rPr>
                <w:rFonts w:hint="eastAsia" w:ascii="宋体" w:hAnsi="宋体" w:cs="Times New Roman"/>
              </w:rPr>
              <w:t>×</w:t>
            </w:r>
            <w:r>
              <w:rPr>
                <w:rFonts w:hint="eastAsia"/>
              </w:rPr>
              <w:t>170mm</w:t>
            </w:r>
            <w:r>
              <w:rPr>
                <w:rFonts w:hint="eastAsia" w:ascii="宋体" w:hAnsi="宋体" w:cs="Times New Roman"/>
              </w:rPr>
              <w:t xml:space="preserve">± </w:t>
            </w:r>
            <w:r>
              <w:rPr>
                <w:rFonts w:hint="eastAsia"/>
              </w:rPr>
              <w:t>1mm(</w:t>
            </w:r>
            <w:r>
              <w:rPr>
                <w:rFonts w:hint="eastAsia" w:ascii="宋体" w:hAnsi="宋体" w:cs="Times New Roman"/>
              </w:rPr>
              <w:t>宽</w:t>
            </w:r>
            <w:r>
              <w:rPr>
                <w:rFonts w:hint="eastAsia"/>
              </w:rPr>
              <w:t>)</w:t>
            </w:r>
            <w:r>
              <w:rPr>
                <w:rFonts w:hint="eastAsia" w:ascii="宋体" w:hAnsi="宋体" w:cs="Times New Roman"/>
              </w:rPr>
              <w:t>×</w:t>
            </w:r>
            <w:r>
              <w:rPr>
                <w:rFonts w:hint="eastAsia"/>
              </w:rPr>
              <w:t>85mm</w:t>
            </w:r>
            <w:r>
              <w:rPr>
                <w:rFonts w:hint="eastAsia" w:ascii="宋体" w:hAnsi="宋体" w:cs="Times New Roman"/>
              </w:rPr>
              <w:t>±</w:t>
            </w:r>
            <w:r>
              <w:rPr>
                <w:rFonts w:hint="eastAsia"/>
              </w:rPr>
              <w:t>1mm(</w:t>
            </w:r>
            <w:r>
              <w:rPr>
                <w:rFonts w:hint="eastAsia" w:ascii="宋体" w:hAnsi="宋体" w:cs="Times New Roman"/>
              </w:rPr>
              <w:t>厚</w:t>
            </w:r>
            <w:r>
              <w:rPr>
                <w:rFonts w:hint="eastAsia"/>
              </w:rPr>
              <w:t>)</w:t>
            </w:r>
          </w:p>
          <w:p w14:paraId="5753F846">
            <w:pPr>
              <w:jc w:val="left"/>
              <w:rPr>
                <w:rFonts w:hint="eastAsia" w:cs="Times New Roman"/>
              </w:rPr>
            </w:pPr>
            <w:r>
              <w:rPr>
                <w:rFonts w:hint="eastAsia"/>
              </w:rPr>
              <w:t>9</w:t>
            </w:r>
            <w:r>
              <w:rPr>
                <w:rFonts w:hint="eastAsia" w:ascii="宋体" w:hAnsi="宋体" w:cs="Times New Roman"/>
              </w:rPr>
              <w:t xml:space="preserve">、电表可计量总及各费率的正向、反向、 组合有功的电量，有功组合方式可 </w:t>
            </w:r>
            <w:r>
              <w:t xml:space="preserve"> </w:t>
            </w:r>
            <w:r>
              <w:rPr>
                <w:rFonts w:hint="eastAsia" w:ascii="宋体" w:hAnsi="宋体" w:cs="Times New Roman"/>
              </w:rPr>
              <w:t>设 置 ；</w:t>
            </w:r>
          </w:p>
          <w:p w14:paraId="42666F97">
            <w:pPr>
              <w:jc w:val="left"/>
              <w:rPr>
                <w:rFonts w:hint="eastAsia" w:cs="Times New Roman"/>
              </w:rPr>
            </w:pPr>
            <w:r>
              <w:rPr>
                <w:rFonts w:hint="eastAsia" w:ascii="宋体" w:hAnsi="宋体" w:cs="Times New Roman"/>
              </w:rPr>
              <w:t>电表可计量总及各费率的四象限无功和</w:t>
            </w:r>
            <w:r>
              <w:rPr>
                <w:rFonts w:hint="eastAsia" w:cs="Times New Roman"/>
              </w:rPr>
              <w:t xml:space="preserve"> </w:t>
            </w:r>
            <w:r>
              <w:t xml:space="preserve"> </w:t>
            </w:r>
            <w:r>
              <w:rPr>
                <w:rFonts w:hint="eastAsia" w:ascii="宋体" w:hAnsi="宋体" w:cs="Times New Roman"/>
              </w:rPr>
              <w:t>组合无功</w:t>
            </w:r>
            <w:r>
              <w:rPr>
                <w:rFonts w:hint="eastAsia"/>
              </w:rPr>
              <w:t>I/II</w:t>
            </w:r>
            <w:r>
              <w:rPr>
                <w:rFonts w:hint="eastAsia" w:ascii="宋体" w:hAnsi="宋体" w:cs="Times New Roman"/>
              </w:rPr>
              <w:t>的电量，组合无功方式 可设置 ；</w:t>
            </w:r>
          </w:p>
          <w:p w14:paraId="21DD2B21">
            <w:pPr>
              <w:jc w:val="left"/>
              <w:rPr>
                <w:rFonts w:hint="eastAsia" w:cs="Times New Roman"/>
              </w:rPr>
            </w:pPr>
            <w:r>
              <w:rPr>
                <w:rFonts w:hint="eastAsia" w:ascii="宋体" w:hAnsi="宋体" w:cs="Times New Roman"/>
              </w:rPr>
              <w:t>电表可计量</w:t>
            </w:r>
            <w:r>
              <w:rPr>
                <w:rFonts w:hint="eastAsia"/>
              </w:rPr>
              <w:t>A</w:t>
            </w:r>
            <w:r>
              <w:rPr>
                <w:rFonts w:hint="eastAsia" w:ascii="宋体" w:hAnsi="宋体" w:cs="Times New Roman"/>
              </w:rPr>
              <w:t>、</w:t>
            </w:r>
            <w:r>
              <w:rPr>
                <w:rFonts w:hint="eastAsia"/>
              </w:rPr>
              <w:t>B</w:t>
            </w:r>
            <w:r>
              <w:rPr>
                <w:rFonts w:hint="eastAsia" w:ascii="宋体" w:hAnsi="宋体" w:cs="Times New Roman"/>
              </w:rPr>
              <w:t>、</w:t>
            </w:r>
            <w:r>
              <w:rPr>
                <w:rFonts w:hint="eastAsia"/>
              </w:rPr>
              <w:t>C</w:t>
            </w:r>
            <w:r>
              <w:rPr>
                <w:rFonts w:hint="eastAsia" w:ascii="宋体" w:hAnsi="宋体" w:cs="Times New Roman"/>
              </w:rPr>
              <w:t>三相的正反向有</w:t>
            </w:r>
            <w:r>
              <w:rPr>
                <w:rFonts w:hint="eastAsia" w:ascii="宋体" w:hAnsi="宋体" w:cs="Times New Roman"/>
                <w:color w:val="auto"/>
              </w:rPr>
              <w:t>功 和四象限无功总</w:t>
            </w:r>
            <w:r>
              <w:rPr>
                <w:rFonts w:hint="eastAsia" w:ascii="宋体" w:hAnsi="宋体" w:cs="Times New Roman"/>
              </w:rPr>
              <w:t>电量；</w:t>
            </w:r>
          </w:p>
          <w:p w14:paraId="3763F81D">
            <w:pPr>
              <w:jc w:val="left"/>
              <w:rPr>
                <w:rFonts w:hint="eastAsia" w:cs="Times New Roman"/>
              </w:rPr>
            </w:pPr>
            <w:r>
              <w:rPr>
                <w:rFonts w:hint="eastAsia"/>
              </w:rPr>
              <w:t>10</w:t>
            </w:r>
            <w:r>
              <w:rPr>
                <w:rFonts w:hint="eastAsia" w:ascii="宋体" w:hAnsi="宋体" w:cs="Times New Roman"/>
              </w:rPr>
              <w:t>、电表可存储当前及上</w:t>
            </w:r>
            <w:r>
              <w:rPr>
                <w:rFonts w:hint="eastAsia"/>
              </w:rPr>
              <w:t>12</w:t>
            </w:r>
            <w:r>
              <w:rPr>
                <w:rFonts w:hint="eastAsia" w:ascii="宋体" w:hAnsi="宋体" w:cs="Times New Roman"/>
              </w:rPr>
              <w:t xml:space="preserve">个结算日的电量 </w:t>
            </w:r>
            <w:r>
              <w:t xml:space="preserve"> </w:t>
            </w:r>
            <w:r>
              <w:rPr>
                <w:rFonts w:hint="eastAsia" w:ascii="宋体" w:hAnsi="宋体" w:cs="Times New Roman"/>
              </w:rPr>
              <w:t>数据；数据转存时间默认为月初</w:t>
            </w:r>
            <w:r>
              <w:rPr>
                <w:rFonts w:hint="eastAsia"/>
              </w:rPr>
              <w:t>0</w:t>
            </w:r>
            <w:r>
              <w:rPr>
                <w:rFonts w:hint="eastAsia" w:ascii="宋体" w:hAnsi="宋体" w:cs="Times New Roman"/>
              </w:rPr>
              <w:t xml:space="preserve">时 </w:t>
            </w:r>
            <w:r>
              <w:rPr>
                <w:rFonts w:hint="eastAsia"/>
              </w:rPr>
              <w:t>(</w:t>
            </w:r>
            <w:r>
              <w:rPr>
                <w:rFonts w:hint="eastAsia" w:ascii="宋体" w:hAnsi="宋体" w:cs="Times New Roman"/>
              </w:rPr>
              <w:t>月末</w:t>
            </w:r>
            <w:r>
              <w:rPr>
                <w:rFonts w:hint="eastAsia"/>
              </w:rPr>
              <w:t>24</w:t>
            </w:r>
            <w:r>
              <w:rPr>
                <w:rFonts w:hint="eastAsia" w:ascii="宋体" w:hAnsi="宋体" w:cs="Times New Roman"/>
              </w:rPr>
              <w:t>时</w:t>
            </w:r>
            <w:r>
              <w:rPr>
                <w:rFonts w:hint="eastAsia"/>
              </w:rPr>
              <w:t>),</w:t>
            </w:r>
            <w:r>
              <w:rPr>
                <w:rFonts w:hint="eastAsia" w:ascii="宋体" w:hAnsi="宋体" w:cs="Times New Roman"/>
              </w:rPr>
              <w:t>用户可根据实际需求设置其它</w:t>
            </w:r>
            <w:r>
              <w:rPr>
                <w:rFonts w:hint="eastAsia"/>
              </w:rPr>
              <w:t>(1~28</w:t>
            </w:r>
            <w:r>
              <w:rPr>
                <w:rFonts w:hint="eastAsia" w:ascii="宋体" w:hAnsi="宋体" w:cs="Times New Roman"/>
              </w:rPr>
              <w:t>日</w:t>
            </w:r>
            <w:r>
              <w:rPr>
                <w:rFonts w:hint="eastAsia"/>
              </w:rPr>
              <w:t>)</w:t>
            </w:r>
            <w:r>
              <w:rPr>
                <w:rFonts w:hint="eastAsia" w:ascii="宋体" w:hAnsi="宋体" w:cs="Times New Roman"/>
              </w:rPr>
              <w:t>任意时刻。</w:t>
            </w:r>
          </w:p>
          <w:p w14:paraId="44EC64FB">
            <w:pPr>
              <w:jc w:val="left"/>
              <w:rPr>
                <w:rFonts w:hint="eastAsia" w:cs="Times New Roman"/>
              </w:rPr>
            </w:pPr>
            <w:r>
              <w:rPr>
                <w:rFonts w:hint="eastAsia"/>
              </w:rPr>
              <w:t>11</w:t>
            </w:r>
            <w:r>
              <w:rPr>
                <w:rFonts w:hint="eastAsia" w:ascii="宋体" w:hAnsi="宋体" w:cs="Times New Roman"/>
              </w:rPr>
              <w:t>、电表实时测量</w:t>
            </w:r>
            <w:r>
              <w:rPr>
                <w:rFonts w:hint="eastAsia"/>
              </w:rPr>
              <w:t>A</w:t>
            </w:r>
            <w:r>
              <w:rPr>
                <w:rFonts w:hint="eastAsia" w:ascii="宋体" w:hAnsi="宋体" w:cs="Times New Roman"/>
              </w:rPr>
              <w:t>、</w:t>
            </w:r>
            <w:r>
              <w:rPr>
                <w:rFonts w:hint="eastAsia"/>
              </w:rPr>
              <w:t>B</w:t>
            </w:r>
            <w:r>
              <w:rPr>
                <w:rFonts w:hint="eastAsia" w:ascii="宋体" w:hAnsi="宋体" w:cs="Times New Roman"/>
              </w:rPr>
              <w:t>、</w:t>
            </w:r>
            <w:r>
              <w:rPr>
                <w:rFonts w:hint="eastAsia"/>
              </w:rPr>
              <w:t>C</w:t>
            </w:r>
            <w:r>
              <w:rPr>
                <w:rFonts w:hint="eastAsia" w:ascii="宋体" w:hAnsi="宋体" w:cs="Times New Roman"/>
              </w:rPr>
              <w:t>各相的电压、电流、相角、视在功率、有功功率、 无功功率、功率因數及电网频率，并且显示功率的方向。</w:t>
            </w:r>
          </w:p>
          <w:p w14:paraId="2B04303D">
            <w:pPr>
              <w:jc w:val="left"/>
              <w:rPr>
                <w:rFonts w:hint="eastAsia" w:cs="Times New Roman"/>
              </w:rPr>
            </w:pPr>
            <w:r>
              <w:rPr>
                <w:rFonts w:hint="eastAsia"/>
              </w:rPr>
              <w:t>12</w:t>
            </w:r>
            <w:r>
              <w:rPr>
                <w:rFonts w:hint="eastAsia" w:ascii="宋体" w:hAnsi="宋体" w:cs="Times New Roman"/>
              </w:rPr>
              <w:t>、越限监测功能：可对各相电压、电 流等参数设置阀值进行监视，通过监测该量值是否超出或低于预先设 定的限值，以事件方式进行记录。</w:t>
            </w:r>
          </w:p>
          <w:p w14:paraId="5936A9B4">
            <w:pPr>
              <w:jc w:val="left"/>
              <w:rPr>
                <w:rFonts w:hint="eastAsia" w:cs="Times New Roman"/>
              </w:rPr>
            </w:pPr>
            <w:r>
              <w:rPr>
                <w:rFonts w:hint="eastAsia"/>
              </w:rPr>
              <w:t>13</w:t>
            </w:r>
            <w:r>
              <w:rPr>
                <w:rFonts w:hint="eastAsia" w:ascii="宋体" w:hAnsi="宋体" w:cs="Times New Roman"/>
              </w:rPr>
              <w:t>、电表可记录总及各费率正、反向有功、四象限无功、组合无功最大需量及其发生时间；</w:t>
            </w:r>
          </w:p>
          <w:p w14:paraId="70FAD7FE">
            <w:pPr>
              <w:jc w:val="left"/>
              <w:rPr>
                <w:rFonts w:hint="eastAsia" w:cs="Times New Roman"/>
              </w:rPr>
            </w:pPr>
            <w:r>
              <w:rPr>
                <w:rFonts w:hint="eastAsia"/>
              </w:rPr>
              <w:t>14</w:t>
            </w:r>
            <w:r>
              <w:rPr>
                <w:rFonts w:hint="eastAsia" w:ascii="宋体" w:hAnsi="宋体" w:cs="Times New Roman"/>
              </w:rPr>
              <w:t>、电能表可支持四种费率</w:t>
            </w:r>
            <w:r>
              <w:rPr>
                <w:rFonts w:hint="eastAsia"/>
              </w:rPr>
              <w:t>(</w:t>
            </w:r>
            <w:r>
              <w:rPr>
                <w:rFonts w:hint="eastAsia" w:ascii="宋体" w:hAnsi="宋体" w:cs="Times New Roman"/>
              </w:rPr>
              <w:t>尖、峰、 平、谷</w:t>
            </w:r>
            <w:r>
              <w:rPr>
                <w:rFonts w:hint="eastAsia"/>
              </w:rPr>
              <w:t>)</w:t>
            </w:r>
            <w:r>
              <w:rPr>
                <w:rFonts w:hint="eastAsia" w:ascii="宋体" w:hAnsi="宋体" w:cs="Times New Roman"/>
              </w:rPr>
              <w:t>切换。电能具有两套时区表和两套日时段表方案，两套方案各自带有切换时间</w:t>
            </w:r>
            <w:r>
              <w:rPr>
                <w:rFonts w:hint="eastAsia"/>
              </w:rPr>
              <w:t>(</w:t>
            </w:r>
            <w:r>
              <w:rPr>
                <w:rFonts w:hint="eastAsia" w:ascii="宋体" w:hAnsi="宋体" w:cs="Times New Roman"/>
              </w:rPr>
              <w:t>年 月日时分</w:t>
            </w:r>
            <w:r>
              <w:rPr>
                <w:rFonts w:hint="eastAsia"/>
              </w:rPr>
              <w:t>),</w:t>
            </w:r>
            <w:r>
              <w:rPr>
                <w:rFonts w:hint="eastAsia" w:ascii="宋体" w:hAnsi="宋体" w:cs="Times New Roman"/>
              </w:rPr>
              <w:t>可通过预先设置切换时间实现两套费率方案的自动切换每套费率时段方案全年最大可设置</w:t>
            </w:r>
            <w:r>
              <w:rPr>
                <w:rFonts w:hint="eastAsia"/>
              </w:rPr>
              <w:t>14</w:t>
            </w:r>
            <w:r>
              <w:rPr>
                <w:rFonts w:hint="eastAsia" w:ascii="宋体" w:hAnsi="宋体" w:cs="Times New Roman"/>
              </w:rPr>
              <w:t>个时区，各个时区设置起始日期及使用的日时段表号。每天可以设置</w:t>
            </w:r>
            <w:r>
              <w:rPr>
                <w:rFonts w:hint="eastAsia"/>
              </w:rPr>
              <w:t>14</w:t>
            </w:r>
            <w:r>
              <w:rPr>
                <w:rFonts w:hint="eastAsia" w:ascii="宋体" w:hAnsi="宋体" w:cs="Times New Roman"/>
              </w:rPr>
              <w:t xml:space="preserve">个时段，各个时段设置起始时间及使用的费率。时段最小间隔为 </w:t>
            </w:r>
            <w:r>
              <w:rPr>
                <w:rFonts w:hint="eastAsia"/>
              </w:rPr>
              <w:t>15</w:t>
            </w:r>
            <w:r>
              <w:rPr>
                <w:rFonts w:hint="eastAsia" w:ascii="宋体" w:hAnsi="宋体" w:cs="Times New Roman"/>
              </w:rPr>
              <w:t>分钟</w:t>
            </w:r>
            <w:r>
              <w:rPr>
                <w:rFonts w:hint="eastAsia"/>
              </w:rPr>
              <w:t>(</w:t>
            </w:r>
            <w:r>
              <w:rPr>
                <w:rFonts w:hint="eastAsia" w:ascii="宋体" w:hAnsi="宋体" w:cs="Times New Roman"/>
              </w:rPr>
              <w:t>由上位机设置软件控制</w:t>
            </w:r>
            <w:r>
              <w:rPr>
                <w:rFonts w:hint="eastAsia"/>
              </w:rPr>
              <w:t xml:space="preserve">), </w:t>
            </w:r>
            <w:r>
              <w:rPr>
                <w:rFonts w:hint="eastAsia" w:ascii="宋体" w:hAnsi="宋体" w:cs="Times New Roman"/>
              </w:rPr>
              <w:t>可跨越零点设置。</w:t>
            </w:r>
          </w:p>
          <w:p w14:paraId="505DDDC0">
            <w:pPr>
              <w:jc w:val="left"/>
              <w:rPr>
                <w:rFonts w:hint="eastAsia" w:cs="Times New Roman"/>
              </w:rPr>
            </w:pPr>
            <w:r>
              <w:rPr>
                <w:rFonts w:hint="eastAsia"/>
              </w:rPr>
              <w:t>15</w:t>
            </w:r>
            <w:r>
              <w:rPr>
                <w:rFonts w:hint="eastAsia" w:ascii="宋体" w:hAnsi="宋体" w:cs="Times New Roman"/>
              </w:rPr>
              <w:t>、 电能具有节假日和周休日特殊费率时段功能。最大可设置</w:t>
            </w:r>
            <w:r>
              <w:rPr>
                <w:rFonts w:hint="eastAsia"/>
              </w:rPr>
              <w:t>254</w:t>
            </w:r>
            <w:r>
              <w:rPr>
                <w:rFonts w:hint="eastAsia" w:ascii="宋体" w:hAnsi="宋体" w:cs="Times New Roman"/>
              </w:rPr>
              <w:t>个节假日费率数据。</w:t>
            </w:r>
          </w:p>
          <w:p w14:paraId="5E1E49CC">
            <w:pPr>
              <w:jc w:val="left"/>
              <w:rPr>
                <w:rFonts w:hint="eastAsia" w:cs="Times New Roman"/>
              </w:rPr>
            </w:pPr>
            <w:r>
              <w:rPr>
                <w:rFonts w:hint="eastAsia"/>
              </w:rPr>
              <w:t>16</w:t>
            </w:r>
            <w:r>
              <w:rPr>
                <w:rFonts w:hint="eastAsia" w:ascii="宋体" w:hAnsi="宋体" w:cs="Times New Roman"/>
              </w:rPr>
              <w:t>、仪表具有</w:t>
            </w:r>
            <w:r>
              <w:rPr>
                <w:rFonts w:hint="eastAsia"/>
              </w:rPr>
              <w:t>RS-48S</w:t>
            </w:r>
            <w:r>
              <w:rPr>
                <w:rFonts w:hint="eastAsia" w:ascii="宋体" w:hAnsi="宋体" w:cs="Times New Roman"/>
              </w:rPr>
              <w:t>通信接口和红外通信接口，支持</w:t>
            </w:r>
            <w:r>
              <w:rPr>
                <w:rFonts w:hint="eastAsia"/>
              </w:rPr>
              <w:t>DL/T645</w:t>
            </w:r>
            <w:r>
              <w:rPr>
                <w:rFonts w:hint="eastAsia" w:ascii="宋体" w:hAnsi="宋体" w:cs="Times New Roman"/>
              </w:rPr>
              <w:t>规约，可进行参数设置、数据采集等功能。通信可设置。具有可热插拔通讯无线模块接口。通信信道物理层相互独立，任意一条通信信道的损坏不影响其它信道正常工作。</w:t>
            </w:r>
          </w:p>
          <w:p w14:paraId="03C75C9B">
            <w:pPr>
              <w:jc w:val="left"/>
              <w:rPr>
                <w:rFonts w:hint="eastAsia" w:ascii="宋体" w:hAnsi="宋体" w:eastAsia="宋体" w:cs="宋体"/>
                <w:color w:val="auto"/>
                <w:sz w:val="21"/>
                <w:szCs w:val="21"/>
                <w:lang w:val="en-US" w:eastAsia="zh-CN"/>
              </w:rPr>
            </w:pPr>
            <w:r>
              <w:rPr>
                <w:rFonts w:hint="eastAsia"/>
              </w:rPr>
              <w:t>17</w:t>
            </w:r>
            <w:r>
              <w:rPr>
                <w:rFonts w:hint="eastAsia" w:ascii="宋体" w:hAnsi="宋体" w:cs="Times New Roman"/>
              </w:rPr>
              <w:t>、电能具有</w:t>
            </w:r>
            <w:r>
              <w:rPr>
                <w:rFonts w:hint="eastAsia"/>
              </w:rPr>
              <w:t>LCD</w:t>
            </w:r>
            <w:r>
              <w:rPr>
                <w:rFonts w:hint="eastAsia" w:ascii="宋体" w:hAnsi="宋体" w:cs="Times New Roman"/>
              </w:rPr>
              <w:t>液品显示屏，可分自动循显和按键显示两种方式。按键显示时</w:t>
            </w:r>
            <w:r>
              <w:rPr>
                <w:rFonts w:hint="eastAsia"/>
              </w:rPr>
              <w:t>LCD</w:t>
            </w:r>
            <w:r>
              <w:rPr>
                <w:rFonts w:hint="eastAsia" w:ascii="宋体" w:hAnsi="宋体" w:cs="Times New Roman"/>
              </w:rPr>
              <w:t>启动背光灯，停电后，显示自动关闭，可通过按键方式唤醒显示。</w:t>
            </w:r>
          </w:p>
        </w:tc>
        <w:tc>
          <w:tcPr>
            <w:tcW w:w="691" w:type="dxa"/>
            <w:tcBorders>
              <w:top w:val="single" w:color="auto" w:sz="4" w:space="0"/>
              <w:left w:val="nil"/>
              <w:bottom w:val="single" w:color="auto" w:sz="4" w:space="0"/>
              <w:right w:val="single" w:color="auto" w:sz="4" w:space="0"/>
            </w:tcBorders>
            <w:shd w:val="clear" w:color="auto" w:fill="auto"/>
            <w:vAlign w:val="center"/>
          </w:tcPr>
          <w:p w14:paraId="174373E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只</w:t>
            </w:r>
          </w:p>
        </w:tc>
        <w:tc>
          <w:tcPr>
            <w:tcW w:w="673" w:type="dxa"/>
            <w:tcBorders>
              <w:top w:val="single" w:color="auto" w:sz="4" w:space="0"/>
              <w:left w:val="nil"/>
              <w:bottom w:val="single" w:color="auto" w:sz="4" w:space="0"/>
              <w:right w:val="single" w:color="auto" w:sz="4" w:space="0"/>
            </w:tcBorders>
            <w:shd w:val="clear" w:color="auto" w:fill="auto"/>
            <w:vAlign w:val="center"/>
          </w:tcPr>
          <w:p w14:paraId="22EBF33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55</w:t>
            </w:r>
          </w:p>
        </w:tc>
        <w:tc>
          <w:tcPr>
            <w:tcW w:w="881" w:type="dxa"/>
            <w:tcBorders>
              <w:top w:val="single" w:color="auto" w:sz="4" w:space="0"/>
              <w:left w:val="nil"/>
              <w:bottom w:val="single" w:color="auto" w:sz="4" w:space="0"/>
              <w:right w:val="single" w:color="auto" w:sz="4" w:space="0"/>
            </w:tcBorders>
            <w:shd w:val="clear" w:color="auto" w:fill="auto"/>
            <w:vAlign w:val="center"/>
          </w:tcPr>
          <w:p w14:paraId="734714E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lang w:val="en-US" w:eastAsia="zh-CN"/>
              </w:rPr>
            </w:pPr>
          </w:p>
        </w:tc>
        <w:tc>
          <w:tcPr>
            <w:tcW w:w="828" w:type="dxa"/>
            <w:tcBorders>
              <w:top w:val="single" w:color="auto" w:sz="4" w:space="0"/>
              <w:left w:val="nil"/>
              <w:bottom w:val="single" w:color="auto" w:sz="4" w:space="0"/>
              <w:right w:val="single" w:color="auto" w:sz="4" w:space="0"/>
            </w:tcBorders>
            <w:shd w:val="clear" w:color="auto" w:fill="auto"/>
            <w:vAlign w:val="center"/>
          </w:tcPr>
          <w:p w14:paraId="2F8CD67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lang w:val="en-US" w:eastAsia="zh-CN"/>
              </w:rPr>
            </w:pPr>
          </w:p>
        </w:tc>
        <w:tc>
          <w:tcPr>
            <w:tcW w:w="1018" w:type="dxa"/>
            <w:tcBorders>
              <w:top w:val="single" w:color="auto" w:sz="4" w:space="0"/>
              <w:left w:val="nil"/>
              <w:bottom w:val="single" w:color="auto" w:sz="4" w:space="0"/>
              <w:right w:val="single" w:color="auto" w:sz="4" w:space="0"/>
            </w:tcBorders>
            <w:vAlign w:val="center"/>
          </w:tcPr>
          <w:p w14:paraId="20039527">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1368F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08A30E3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3</w:t>
            </w:r>
          </w:p>
        </w:tc>
        <w:tc>
          <w:tcPr>
            <w:tcW w:w="1557" w:type="dxa"/>
            <w:tcBorders>
              <w:top w:val="single" w:color="auto" w:sz="4" w:space="0"/>
              <w:left w:val="nil"/>
              <w:bottom w:val="single" w:color="auto" w:sz="4" w:space="0"/>
              <w:right w:val="single" w:color="auto" w:sz="4" w:space="0"/>
            </w:tcBorders>
            <w:vAlign w:val="center"/>
          </w:tcPr>
          <w:p w14:paraId="736CC1B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754F028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z w:val="21"/>
                <w:szCs w:val="21"/>
              </w:rPr>
              <w:t>（DN20）</w:t>
            </w:r>
          </w:p>
        </w:tc>
        <w:tc>
          <w:tcPr>
            <w:tcW w:w="7677" w:type="dxa"/>
            <w:vMerge w:val="restart"/>
            <w:tcBorders>
              <w:left w:val="nil"/>
              <w:right w:val="single" w:color="auto" w:sz="4" w:space="0"/>
            </w:tcBorders>
            <w:shd w:val="clear" w:color="auto" w:fill="auto"/>
            <w:vAlign w:val="center"/>
          </w:tcPr>
          <w:p w14:paraId="1C1D6FCC">
            <w:pPr>
              <w:jc w:val="left"/>
              <w:rPr>
                <w:rFonts w:eastAsia="宋体" w:cs="Times New Roman"/>
              </w:rPr>
            </w:pPr>
            <w:r>
              <w:rPr>
                <w:rFonts w:hint="eastAsia"/>
              </w:rPr>
              <w:t>1</w:t>
            </w:r>
            <w:r>
              <w:rPr>
                <w:rFonts w:hint="eastAsia" w:ascii="宋体" w:hAnsi="宋体" w:cs="Times New Roman"/>
              </w:rPr>
              <w:t>、准确度等级：</w:t>
            </w:r>
            <w:r>
              <w:rPr>
                <w:rFonts w:hint="eastAsia"/>
              </w:rPr>
              <w:t>2</w:t>
            </w:r>
            <w:r>
              <w:rPr>
                <w:rFonts w:hint="eastAsia" w:ascii="宋体" w:hAnsi="宋体" w:cs="Times New Roman"/>
              </w:rPr>
              <w:t>级及以上；</w:t>
            </w:r>
          </w:p>
          <w:p w14:paraId="60D0B2E0">
            <w:pPr>
              <w:jc w:val="left"/>
              <w:rPr>
                <w:rFonts w:hint="eastAsia" w:cs="Times New Roman"/>
              </w:rPr>
            </w:pPr>
            <w:r>
              <w:rPr>
                <w:rFonts w:hint="eastAsia"/>
              </w:rPr>
              <w:t>2</w:t>
            </w:r>
            <w:r>
              <w:rPr>
                <w:rFonts w:hint="eastAsia" w:ascii="宋体" w:hAnsi="宋体" w:cs="Times New Roman"/>
              </w:rPr>
              <w:t>、压力等级：≥</w:t>
            </w:r>
            <w:r>
              <w:rPr>
                <w:rFonts w:hint="eastAsia"/>
              </w:rPr>
              <w:t>MAP10</w:t>
            </w:r>
            <w:r>
              <w:rPr>
                <w:rFonts w:hint="eastAsia" w:ascii="宋体" w:hAnsi="宋体" w:cs="Times New Roman"/>
              </w:rPr>
              <w:t>；</w:t>
            </w:r>
          </w:p>
          <w:p w14:paraId="11925EBE">
            <w:pPr>
              <w:jc w:val="left"/>
              <w:rPr>
                <w:rFonts w:hint="eastAsia" w:cs="Times New Roman"/>
              </w:rPr>
            </w:pPr>
            <w:r>
              <w:rPr>
                <w:rFonts w:hint="eastAsia"/>
              </w:rPr>
              <w:t>3</w:t>
            </w:r>
            <w:r>
              <w:rPr>
                <w:rFonts w:hint="eastAsia" w:ascii="宋体" w:hAnsi="宋体" w:cs="Times New Roman"/>
              </w:rPr>
              <w:t>、量程比：≥</w:t>
            </w:r>
            <w:r>
              <w:rPr>
                <w:rFonts w:hint="eastAsia"/>
              </w:rPr>
              <w:t>R100</w:t>
            </w:r>
            <w:r>
              <w:rPr>
                <w:rFonts w:hint="eastAsia" w:ascii="宋体" w:hAnsi="宋体" w:cs="Times New Roman"/>
              </w:rPr>
              <w:t>；</w:t>
            </w:r>
          </w:p>
          <w:p w14:paraId="79329E81">
            <w:pPr>
              <w:jc w:val="left"/>
              <w:rPr>
                <w:rFonts w:hint="eastAsia" w:cs="Times New Roman"/>
              </w:rPr>
            </w:pPr>
            <w:r>
              <w:rPr>
                <w:rFonts w:hint="eastAsia"/>
              </w:rPr>
              <w:t>4</w:t>
            </w:r>
            <w:r>
              <w:rPr>
                <w:rFonts w:hint="eastAsia" w:ascii="宋体" w:hAnsi="宋体" w:cs="Times New Roman"/>
              </w:rPr>
              <w:t>、基表材质：铜壳</w:t>
            </w:r>
            <w:r>
              <w:rPr>
                <w:rFonts w:hint="eastAsia"/>
              </w:rPr>
              <w:t>/</w:t>
            </w:r>
            <w:r>
              <w:rPr>
                <w:rFonts w:hint="eastAsia" w:ascii="宋体" w:hAnsi="宋体" w:cs="Times New Roman"/>
              </w:rPr>
              <w:t>铁壳</w:t>
            </w:r>
          </w:p>
          <w:p w14:paraId="2F4CDDE9">
            <w:pPr>
              <w:jc w:val="left"/>
              <w:rPr>
                <w:rFonts w:hint="eastAsia" w:cs="Times New Roman"/>
              </w:rPr>
            </w:pPr>
            <w:r>
              <w:rPr>
                <w:rFonts w:hint="eastAsia"/>
              </w:rPr>
              <w:t>5</w:t>
            </w:r>
            <w:r>
              <w:rPr>
                <w:rFonts w:hint="eastAsia" w:ascii="宋体" w:hAnsi="宋体" w:cs="Times New Roman"/>
              </w:rPr>
              <w:t>、机芯类型：湿式机芯；</w:t>
            </w:r>
          </w:p>
          <w:p w14:paraId="208C791A">
            <w:pPr>
              <w:jc w:val="left"/>
              <w:rPr>
                <w:rFonts w:hint="eastAsia" w:cs="Times New Roman"/>
              </w:rPr>
            </w:pPr>
            <w:r>
              <w:rPr>
                <w:rFonts w:hint="eastAsia"/>
              </w:rPr>
              <w:t>6</w:t>
            </w:r>
            <w:r>
              <w:rPr>
                <w:rFonts w:hint="eastAsia" w:ascii="宋体" w:hAnsi="宋体" w:cs="Times New Roman"/>
              </w:rPr>
              <w:t>、传感器类型：磁阻</w:t>
            </w:r>
            <w:r>
              <w:rPr>
                <w:rFonts w:hint="eastAsia"/>
              </w:rPr>
              <w:t>/</w:t>
            </w:r>
            <w:r>
              <w:rPr>
                <w:rFonts w:hint="eastAsia" w:ascii="宋体" w:hAnsi="宋体" w:cs="Times New Roman"/>
              </w:rPr>
              <w:t>无磁；</w:t>
            </w:r>
          </w:p>
          <w:p w14:paraId="6B52A878">
            <w:pPr>
              <w:jc w:val="left"/>
              <w:rPr>
                <w:rFonts w:hint="eastAsia" w:cs="Times New Roman"/>
              </w:rPr>
            </w:pPr>
            <w:r>
              <w:rPr>
                <w:rFonts w:hint="eastAsia"/>
              </w:rPr>
              <w:t>7</w:t>
            </w:r>
            <w:r>
              <w:rPr>
                <w:rFonts w:hint="eastAsia" w:ascii="宋体" w:hAnsi="宋体" w:cs="Times New Roman"/>
              </w:rPr>
              <w:t>、电子采样分辨率：≥</w:t>
            </w:r>
            <w:r>
              <w:rPr>
                <w:rFonts w:hint="eastAsia"/>
              </w:rPr>
              <w:t>0.001m</w:t>
            </w:r>
            <w:r>
              <w:rPr>
                <w:rFonts w:hint="eastAsia" w:ascii="宋体" w:hAnsi="宋体" w:cs="Times New Roman"/>
              </w:rPr>
              <w:t>³；</w:t>
            </w:r>
          </w:p>
          <w:p w14:paraId="24CCDEF3">
            <w:pPr>
              <w:jc w:val="left"/>
              <w:rPr>
                <w:rFonts w:hint="eastAsia" w:cs="Times New Roman"/>
              </w:rPr>
            </w:pPr>
            <w:r>
              <w:rPr>
                <w:rFonts w:hint="eastAsia"/>
              </w:rPr>
              <w:t>8</w:t>
            </w:r>
            <w:r>
              <w:rPr>
                <w:rFonts w:hint="eastAsia" w:ascii="宋体" w:hAnsi="宋体" w:cs="Times New Roman"/>
              </w:rPr>
              <w:t>、温度等级为</w:t>
            </w:r>
            <w:r>
              <w:rPr>
                <w:rFonts w:hint="eastAsia"/>
              </w:rPr>
              <w:t>T30</w:t>
            </w:r>
            <w:r>
              <w:rPr>
                <w:rFonts w:hint="eastAsia" w:ascii="宋体" w:hAnsi="宋体" w:cs="Times New Roman"/>
              </w:rPr>
              <w:t>，水表防冻性能强</w:t>
            </w:r>
          </w:p>
          <w:p w14:paraId="66878814">
            <w:pPr>
              <w:jc w:val="left"/>
              <w:rPr>
                <w:rFonts w:hint="eastAsia" w:cs="Times New Roman"/>
              </w:rPr>
            </w:pPr>
            <w:r>
              <w:rPr>
                <w:rFonts w:hint="eastAsia"/>
              </w:rPr>
              <w:t>9</w:t>
            </w:r>
            <w:r>
              <w:rPr>
                <w:rFonts w:hint="eastAsia" w:ascii="宋体" w:hAnsi="宋体" w:cs="Times New Roman"/>
              </w:rPr>
              <w:t>、压力损失等级</w:t>
            </w:r>
            <w:r>
              <w:rPr>
                <w:rFonts w:hint="eastAsia"/>
              </w:rPr>
              <w:t>:</w:t>
            </w:r>
            <w:r>
              <w:rPr>
                <w:rFonts w:hint="eastAsia" w:ascii="宋体" w:hAnsi="宋体" w:cs="Times New Roman"/>
              </w:rPr>
              <w:t>△</w:t>
            </w:r>
            <w:r>
              <w:rPr>
                <w:rFonts w:hint="eastAsia"/>
              </w:rPr>
              <w:t>p63</w:t>
            </w:r>
          </w:p>
          <w:p w14:paraId="082FF80F">
            <w:pPr>
              <w:jc w:val="left"/>
              <w:rPr>
                <w:rFonts w:hint="eastAsia" w:cs="Times New Roman"/>
              </w:rPr>
            </w:pPr>
            <w:r>
              <w:rPr>
                <w:rFonts w:hint="eastAsia"/>
              </w:rPr>
              <w:t>10</w:t>
            </w:r>
            <w:r>
              <w:rPr>
                <w:rFonts w:hint="eastAsia" w:ascii="宋体" w:hAnsi="宋体" w:cs="Times New Roman"/>
              </w:rPr>
              <w:t>、上游流场敏感度等级</w:t>
            </w:r>
            <w:r>
              <w:rPr>
                <w:rFonts w:hint="eastAsia"/>
              </w:rPr>
              <w:t>:U10</w:t>
            </w:r>
          </w:p>
          <w:p w14:paraId="55AA9374">
            <w:pPr>
              <w:jc w:val="left"/>
              <w:rPr>
                <w:rFonts w:hint="eastAsia" w:cs="Times New Roman"/>
              </w:rPr>
            </w:pPr>
            <w:r>
              <w:rPr>
                <w:rFonts w:hint="eastAsia" w:ascii="宋体" w:hAnsi="宋体" w:cs="Times New Roman"/>
              </w:rPr>
              <w:t>下游流场敏感度等级</w:t>
            </w:r>
            <w:r>
              <w:rPr>
                <w:rFonts w:hint="eastAsia"/>
              </w:rPr>
              <w:t>:D5</w:t>
            </w:r>
          </w:p>
          <w:p w14:paraId="114B49F5">
            <w:pPr>
              <w:jc w:val="left"/>
              <w:rPr>
                <w:rFonts w:hint="eastAsia" w:cs="Times New Roman"/>
              </w:rPr>
            </w:pPr>
            <w:r>
              <w:rPr>
                <w:rFonts w:hint="eastAsia"/>
              </w:rPr>
              <w:t>11</w:t>
            </w:r>
            <w:r>
              <w:rPr>
                <w:rFonts w:hint="eastAsia" w:ascii="宋体" w:hAnsi="宋体" w:cs="Times New Roman"/>
              </w:rPr>
              <w:t>、环境等级</w:t>
            </w:r>
            <w:r>
              <w:rPr>
                <w:rFonts w:hint="eastAsia"/>
              </w:rPr>
              <w:t>:B</w:t>
            </w:r>
            <w:r>
              <w:rPr>
                <w:rFonts w:hint="eastAsia" w:ascii="宋体" w:hAnsi="宋体" w:cs="Times New Roman"/>
              </w:rPr>
              <w:t>级</w:t>
            </w:r>
          </w:p>
          <w:p w14:paraId="3A14BBD6">
            <w:pPr>
              <w:jc w:val="left"/>
              <w:rPr>
                <w:rFonts w:hint="eastAsia" w:cs="Times New Roman"/>
              </w:rPr>
            </w:pPr>
            <w:r>
              <w:rPr>
                <w:rFonts w:hint="eastAsia"/>
              </w:rPr>
              <w:t>12</w:t>
            </w:r>
            <w:r>
              <w:rPr>
                <w:rFonts w:hint="eastAsia" w:ascii="宋体" w:hAnsi="宋体" w:cs="Times New Roman"/>
              </w:rPr>
              <w:t>、电磁环境等级</w:t>
            </w:r>
            <w:r>
              <w:rPr>
                <w:rFonts w:hint="eastAsia"/>
              </w:rPr>
              <w:t>:E1</w:t>
            </w:r>
            <w:r>
              <w:rPr>
                <w:rFonts w:hint="eastAsia" w:ascii="宋体" w:hAnsi="宋体" w:cs="Times New Roman"/>
              </w:rPr>
              <w:t>级</w:t>
            </w:r>
          </w:p>
          <w:p w14:paraId="05FFE015">
            <w:pPr>
              <w:jc w:val="left"/>
              <w:rPr>
                <w:rFonts w:hint="eastAsia" w:cs="Times New Roman"/>
              </w:rPr>
            </w:pPr>
            <w:r>
              <w:rPr>
                <w:rFonts w:hint="eastAsia"/>
              </w:rPr>
              <w:t>13</w:t>
            </w:r>
            <w:r>
              <w:rPr>
                <w:rFonts w:hint="eastAsia" w:ascii="宋体" w:hAnsi="宋体" w:cs="Times New Roman"/>
              </w:rPr>
              <w:t>、水表的最大允许压力</w:t>
            </w:r>
            <w:r>
              <w:rPr>
                <w:rFonts w:hint="eastAsia"/>
              </w:rPr>
              <w:t>(MAP)</w:t>
            </w:r>
            <w:r>
              <w:rPr>
                <w:rFonts w:hint="eastAsia" w:ascii="宋体" w:hAnsi="宋体" w:cs="Times New Roman"/>
              </w:rPr>
              <w:t xml:space="preserve">至少为 </w:t>
            </w:r>
            <w:r>
              <w:rPr>
                <w:rFonts w:hint="eastAsia"/>
              </w:rPr>
              <w:t>1MPa</w:t>
            </w:r>
          </w:p>
          <w:p w14:paraId="0830E1DE">
            <w:pPr>
              <w:jc w:val="left"/>
              <w:rPr>
                <w:rFonts w:hint="eastAsia" w:cs="Times New Roman"/>
              </w:rPr>
            </w:pPr>
            <w:r>
              <w:rPr>
                <w:rFonts w:hint="eastAsia"/>
              </w:rPr>
              <w:t>14</w:t>
            </w:r>
            <w:r>
              <w:rPr>
                <w:rFonts w:hint="eastAsia" w:ascii="宋体" w:hAnsi="宋体" w:cs="Times New Roman"/>
              </w:rPr>
              <w:t>、水表在承受</w:t>
            </w:r>
            <w:r>
              <w:rPr>
                <w:rFonts w:hint="eastAsia"/>
              </w:rPr>
              <w:t>1.6</w:t>
            </w:r>
            <w:r>
              <w:rPr>
                <w:rFonts w:hint="eastAsia" w:ascii="宋体" w:hAnsi="宋体" w:cs="Times New Roman"/>
              </w:rPr>
              <w:t>倍最大允许压力，施加</w:t>
            </w:r>
            <w:r>
              <w:rPr>
                <w:rFonts w:hint="eastAsia"/>
              </w:rPr>
              <w:t>15min</w:t>
            </w:r>
            <w:r>
              <w:rPr>
                <w:rFonts w:hint="eastAsia" w:ascii="宋体" w:hAnsi="宋体" w:cs="Times New Roman"/>
              </w:rPr>
              <w:t>的试验压力下而不发生渗漏、泄露或损坏。</w:t>
            </w:r>
          </w:p>
          <w:p w14:paraId="30CBE0E8">
            <w:pPr>
              <w:jc w:val="left"/>
              <w:rPr>
                <w:rFonts w:hint="eastAsia" w:cs="Times New Roman"/>
              </w:rPr>
            </w:pPr>
            <w:r>
              <w:rPr>
                <w:rFonts w:hint="eastAsia"/>
              </w:rPr>
              <w:t>15</w:t>
            </w:r>
            <w:r>
              <w:rPr>
                <w:rFonts w:hint="eastAsia" w:ascii="宋体" w:hAnsi="宋体" w:cs="Times New Roman"/>
              </w:rPr>
              <w:t>、水表在承受</w:t>
            </w:r>
            <w:r>
              <w:rPr>
                <w:rFonts w:hint="eastAsia"/>
              </w:rPr>
              <w:t>2</w:t>
            </w:r>
            <w:r>
              <w:rPr>
                <w:rFonts w:hint="eastAsia" w:ascii="宋体" w:hAnsi="宋体" w:cs="Times New Roman"/>
              </w:rPr>
              <w:t>倍最大允许压力，施加</w:t>
            </w:r>
            <w:r>
              <w:rPr>
                <w:rFonts w:hint="eastAsia"/>
              </w:rPr>
              <w:t>1min</w:t>
            </w:r>
            <w:r>
              <w:rPr>
                <w:rFonts w:hint="eastAsia" w:ascii="宋体" w:hAnsi="宋体" w:cs="Times New Roman"/>
              </w:rPr>
              <w:t>的试验压力下而不发生渗漏、泄露或损坏。</w:t>
            </w:r>
          </w:p>
          <w:p w14:paraId="271BBD5D">
            <w:pPr>
              <w:jc w:val="left"/>
              <w:rPr>
                <w:rFonts w:hint="eastAsia" w:cs="Times New Roman"/>
              </w:rPr>
            </w:pPr>
            <w:r>
              <w:rPr>
                <w:rFonts w:hint="eastAsia"/>
              </w:rPr>
              <w:t>16</w:t>
            </w:r>
            <w:r>
              <w:rPr>
                <w:rFonts w:hint="eastAsia" w:ascii="宋体" w:hAnsi="宋体" w:cs="Times New Roman"/>
              </w:rPr>
              <w:t>、在</w:t>
            </w:r>
            <w:r>
              <w:rPr>
                <w:rFonts w:hint="eastAsia"/>
              </w:rPr>
              <w:t>0.04m</w:t>
            </w:r>
            <w:r>
              <w:rPr>
                <w:rFonts w:hint="eastAsia" w:ascii="宋体" w:hAnsi="宋体" w:cs="Times New Roman"/>
              </w:rPr>
              <w:t>³</w:t>
            </w:r>
            <w:r>
              <w:rPr>
                <w:rFonts w:hint="eastAsia"/>
              </w:rPr>
              <w:t>/h</w:t>
            </w:r>
            <w:r>
              <w:rPr>
                <w:rFonts w:hint="eastAsia" w:ascii="宋体" w:hAnsi="宋体" w:cs="Times New Roman"/>
              </w:rPr>
              <w:t>试验下，固有示值误差在</w:t>
            </w:r>
            <w:r>
              <w:rPr>
                <w:rFonts w:hint="eastAsia"/>
              </w:rPr>
              <w:t>-2%</w:t>
            </w:r>
            <w:r>
              <w:rPr>
                <w:rFonts w:hint="eastAsia" w:ascii="宋体" w:hAnsi="宋体" w:cs="Times New Roman"/>
              </w:rPr>
              <w:t>≤δ≤</w:t>
            </w:r>
            <w:r>
              <w:rPr>
                <w:rFonts w:hint="eastAsia"/>
              </w:rPr>
              <w:t>2%</w:t>
            </w:r>
            <w:r>
              <w:rPr>
                <w:rFonts w:hint="eastAsia" w:ascii="宋体" w:hAnsi="宋体" w:cs="Times New Roman"/>
              </w:rPr>
              <w:t>范围内。</w:t>
            </w:r>
          </w:p>
          <w:p w14:paraId="7A62C1D8">
            <w:pPr>
              <w:jc w:val="left"/>
              <w:rPr>
                <w:rFonts w:hint="eastAsia" w:cs="Times New Roman"/>
              </w:rPr>
            </w:pPr>
            <w:r>
              <w:rPr>
                <w:rFonts w:cs="Times New Roman"/>
              </w:rPr>
              <w:t>17</w:t>
            </w:r>
            <w:r>
              <w:rPr>
                <w:rFonts w:hint="eastAsia" w:ascii="宋体" w:hAnsi="宋体" w:cs="Times New Roman"/>
              </w:rPr>
              <w:t>、水温保持在</w:t>
            </w:r>
            <w:r>
              <w:rPr>
                <w:rFonts w:cs="Times New Roman"/>
              </w:rPr>
              <w:t>(10±5)</w:t>
            </w:r>
            <w:r>
              <w:rPr>
                <w:rFonts w:hint="eastAsia" w:ascii="宋体" w:hAnsi="宋体" w:cs="Times New Roman"/>
              </w:rPr>
              <w:t>℃</w:t>
            </w:r>
            <w:r>
              <w:rPr>
                <w:rFonts w:cs="Times New Roman"/>
              </w:rPr>
              <w:t>,</w:t>
            </w:r>
            <w:r>
              <w:rPr>
                <w:rFonts w:hint="eastAsia" w:ascii="宋体" w:hAnsi="宋体" w:cs="Times New Roman"/>
              </w:rPr>
              <w:t>在</w:t>
            </w:r>
            <w:r>
              <w:rPr>
                <w:rFonts w:cs="Times New Roman"/>
              </w:rPr>
              <w:t>Q₂</w:t>
            </w:r>
            <w:r>
              <w:rPr>
                <w:rFonts w:hint="eastAsia" w:ascii="宋体" w:hAnsi="宋体" w:cs="Times New Roman"/>
              </w:rPr>
              <w:t>流量下</w:t>
            </w:r>
            <w:r>
              <w:rPr>
                <w:rFonts w:cs="Times New Roman"/>
              </w:rPr>
              <w:t xml:space="preserve"> </w:t>
            </w:r>
            <w:r>
              <w:rPr>
                <w:rFonts w:hint="eastAsia" w:ascii="宋体" w:hAnsi="宋体" w:cs="Times New Roman"/>
              </w:rPr>
              <w:t>测量水表的示值误差为</w:t>
            </w:r>
            <w:r>
              <w:rPr>
                <w:rFonts w:cs="Times New Roman"/>
              </w:rPr>
              <w:t>-1.10%</w:t>
            </w:r>
          </w:p>
          <w:p w14:paraId="25D42668">
            <w:pPr>
              <w:jc w:val="left"/>
              <w:rPr>
                <w:rFonts w:cs="Times New Roman"/>
              </w:rPr>
            </w:pPr>
            <w:r>
              <w:rPr>
                <w:rFonts w:cs="Times New Roman"/>
              </w:rPr>
              <w:t>18</w:t>
            </w:r>
            <w:r>
              <w:rPr>
                <w:rFonts w:hint="eastAsia" w:ascii="宋体" w:hAnsi="宋体" w:cs="Times New Roman"/>
              </w:rPr>
              <w:t>、水温保持在最高允许温度</w:t>
            </w:r>
            <w:r>
              <w:rPr>
                <w:rFonts w:cs="Times New Roman"/>
              </w:rPr>
              <w:t>MAT,</w:t>
            </w:r>
            <w:r>
              <w:rPr>
                <w:rFonts w:hint="eastAsia" w:ascii="宋体" w:hAnsi="宋体" w:cs="Times New Roman"/>
              </w:rPr>
              <w:t>允许偏差</w:t>
            </w:r>
            <w:r>
              <w:rPr>
                <w:rFonts w:cs="Times New Roman"/>
              </w:rPr>
              <w:t>-5</w:t>
            </w:r>
            <w:r>
              <w:rPr>
                <w:rFonts w:hint="eastAsia" w:ascii="宋体" w:hAnsi="宋体" w:cs="Times New Roman"/>
              </w:rPr>
              <w:t>℃</w:t>
            </w:r>
            <w:r>
              <w:rPr>
                <w:rFonts w:cs="Times New Roman"/>
              </w:rPr>
              <w:t>~0</w:t>
            </w:r>
            <w:r>
              <w:rPr>
                <w:rFonts w:hint="eastAsia" w:ascii="宋体" w:hAnsi="宋体" w:cs="Times New Roman"/>
              </w:rPr>
              <w:t>℃</w:t>
            </w:r>
            <w:r>
              <w:rPr>
                <w:rFonts w:cs="Times New Roman"/>
              </w:rPr>
              <w:t>,</w:t>
            </w:r>
            <w:r>
              <w:rPr>
                <w:rFonts w:hint="eastAsia" w:ascii="宋体" w:hAnsi="宋体" w:cs="Times New Roman"/>
              </w:rPr>
              <w:t>在</w:t>
            </w:r>
            <w:r>
              <w:rPr>
                <w:rFonts w:cs="Times New Roman"/>
              </w:rPr>
              <w:t>Q₂</w:t>
            </w:r>
            <w:r>
              <w:rPr>
                <w:rFonts w:hint="eastAsia" w:ascii="宋体" w:hAnsi="宋体" w:cs="Times New Roman"/>
              </w:rPr>
              <w:t>流量下测量水表的示值误差为</w:t>
            </w:r>
            <w:r>
              <w:rPr>
                <w:rFonts w:cs="Times New Roman"/>
              </w:rPr>
              <w:t>-0.90%</w:t>
            </w:r>
          </w:p>
          <w:p w14:paraId="5DACC2FE">
            <w:pPr>
              <w:jc w:val="left"/>
              <w:rPr>
                <w:rFonts w:cs="Times New Roman"/>
              </w:rPr>
            </w:pPr>
            <w:r>
              <w:rPr>
                <w:rFonts w:cs="Times New Roman"/>
              </w:rPr>
              <w:t>19</w:t>
            </w:r>
            <w:r>
              <w:rPr>
                <w:rFonts w:hint="eastAsia" w:ascii="宋体" w:hAnsi="宋体" w:cs="Times New Roman"/>
              </w:rPr>
              <w:t>、水表入口水压保持在</w:t>
            </w:r>
            <w:r>
              <w:rPr>
                <w:rFonts w:cs="Times New Roman"/>
              </w:rPr>
              <w:t>0.03MPa,</w:t>
            </w:r>
            <w:r>
              <w:rPr>
                <w:rFonts w:hint="eastAsia" w:ascii="宋体" w:hAnsi="宋体" w:cs="Times New Roman"/>
              </w:rPr>
              <w:t>允许</w:t>
            </w:r>
            <w:r>
              <w:rPr>
                <w:rFonts w:cs="Times New Roman"/>
              </w:rPr>
              <w:t xml:space="preserve"> </w:t>
            </w:r>
            <w:r>
              <w:rPr>
                <w:rFonts w:hint="eastAsia" w:ascii="宋体" w:hAnsi="宋体" w:cs="Times New Roman"/>
              </w:rPr>
              <w:t>偏差</w:t>
            </w:r>
            <w:r>
              <w:rPr>
                <w:rFonts w:cs="Times New Roman"/>
              </w:rPr>
              <w:t>5%</w:t>
            </w:r>
            <w:r>
              <w:rPr>
                <w:rFonts w:hint="eastAsia" w:ascii="宋体" w:hAnsi="宋体" w:cs="Times New Roman"/>
              </w:rPr>
              <w:t>～</w:t>
            </w:r>
            <w:r>
              <w:rPr>
                <w:rFonts w:cs="Times New Roman"/>
              </w:rPr>
              <w:t>0%,</w:t>
            </w:r>
            <w:r>
              <w:rPr>
                <w:rFonts w:hint="eastAsia" w:ascii="宋体" w:hAnsi="宋体" w:cs="Times New Roman"/>
              </w:rPr>
              <w:t>在</w:t>
            </w:r>
            <w:r>
              <w:rPr>
                <w:rFonts w:cs="Times New Roman"/>
              </w:rPr>
              <w:t>Q₂</w:t>
            </w:r>
            <w:r>
              <w:rPr>
                <w:rFonts w:hint="eastAsia" w:ascii="宋体" w:hAnsi="宋体" w:cs="Times New Roman"/>
              </w:rPr>
              <w:t>流量下测量水表的示值误差为</w:t>
            </w:r>
            <w:r>
              <w:rPr>
                <w:rFonts w:cs="Times New Roman"/>
              </w:rPr>
              <w:t>-0.70%</w:t>
            </w:r>
          </w:p>
          <w:p w14:paraId="102A20C6">
            <w:pPr>
              <w:jc w:val="left"/>
              <w:rPr>
                <w:rFonts w:cs="Times New Roman"/>
              </w:rPr>
            </w:pPr>
            <w:r>
              <w:rPr>
                <w:rFonts w:cs="Times New Roman"/>
              </w:rPr>
              <w:t>20</w:t>
            </w:r>
            <w:r>
              <w:rPr>
                <w:rFonts w:hint="eastAsia" w:ascii="宋体" w:hAnsi="宋体" w:cs="Times New Roman"/>
              </w:rPr>
              <w:t>、水表入口压力保持在</w:t>
            </w:r>
            <w:r>
              <w:rPr>
                <w:rFonts w:cs="Times New Roman"/>
              </w:rPr>
              <w:t>MAP,</w:t>
            </w:r>
            <w:r>
              <w:rPr>
                <w:rFonts w:hint="eastAsia" w:ascii="宋体" w:hAnsi="宋体" w:cs="Times New Roman"/>
              </w:rPr>
              <w:t>允许偏差</w:t>
            </w:r>
            <w:r>
              <w:rPr>
                <w:rFonts w:cs="Times New Roman"/>
              </w:rPr>
              <w:t>0%</w:t>
            </w:r>
            <w:r>
              <w:rPr>
                <w:rFonts w:hint="eastAsia" w:ascii="宋体" w:hAnsi="宋体" w:cs="Times New Roman"/>
              </w:rPr>
              <w:t>～</w:t>
            </w:r>
            <w:r>
              <w:rPr>
                <w:rFonts w:cs="Times New Roman"/>
              </w:rPr>
              <w:t>-10%,</w:t>
            </w:r>
            <w:r>
              <w:rPr>
                <w:rFonts w:hint="eastAsia" w:ascii="宋体" w:hAnsi="宋体" w:cs="Times New Roman"/>
              </w:rPr>
              <w:t>在</w:t>
            </w:r>
            <w:r>
              <w:rPr>
                <w:rFonts w:cs="Times New Roman"/>
              </w:rPr>
              <w:t>Q₂</w:t>
            </w:r>
            <w:r>
              <w:rPr>
                <w:rFonts w:hint="eastAsia" w:ascii="宋体" w:hAnsi="宋体" w:cs="Times New Roman"/>
              </w:rPr>
              <w:t>流量下测量水表的示值误差为</w:t>
            </w:r>
            <w:r>
              <w:rPr>
                <w:rFonts w:cs="Times New Roman"/>
              </w:rPr>
              <w:t>-0.90%</w:t>
            </w:r>
          </w:p>
          <w:p w14:paraId="4C1A40B2">
            <w:pPr>
              <w:jc w:val="left"/>
              <w:rPr>
                <w:rFonts w:cs="Times New Roman"/>
              </w:rPr>
            </w:pPr>
            <w:r>
              <w:rPr>
                <w:rFonts w:hint="eastAsia"/>
              </w:rPr>
              <w:t>21</w:t>
            </w:r>
            <w:r>
              <w:rPr>
                <w:rFonts w:hint="eastAsia" w:ascii="宋体" w:hAnsi="宋体" w:cs="Times New Roman"/>
              </w:rPr>
              <w:t>、水表辅助装置试验期间，临时或永久安装的辅助装置，辅助装置上的体积示值与主示值之间的差异应不大于一个显示分度值</w:t>
            </w:r>
          </w:p>
          <w:p w14:paraId="2272B6FA">
            <w:pPr>
              <w:jc w:val="left"/>
              <w:rPr>
                <w:rFonts w:hint="eastAsia" w:cs="Times New Roman"/>
              </w:rPr>
            </w:pPr>
            <w:r>
              <w:rPr>
                <w:rFonts w:hint="eastAsia"/>
              </w:rPr>
              <w:t>22</w:t>
            </w:r>
            <w:r>
              <w:rPr>
                <w:rFonts w:hint="eastAsia" w:ascii="宋体" w:hAnsi="宋体" w:cs="Times New Roman"/>
              </w:rPr>
              <w:t>、水表辅助装置试验期间，机电转换误差不超过±</w:t>
            </w:r>
            <w:r>
              <w:rPr>
                <w:rFonts w:hint="eastAsia"/>
              </w:rPr>
              <w:t>1</w:t>
            </w:r>
            <w:r>
              <w:rPr>
                <w:rFonts w:hint="eastAsia" w:ascii="宋体" w:hAnsi="宋体" w:cs="Times New Roman"/>
              </w:rPr>
              <w:t>个脉冲当量，一个最小转换分度值为</w:t>
            </w:r>
            <w:r>
              <w:rPr>
                <w:rFonts w:hint="eastAsia"/>
              </w:rPr>
              <w:t>0.0018m</w:t>
            </w:r>
            <w:r>
              <w:rPr>
                <w:rFonts w:hint="eastAsia" w:ascii="宋体" w:hAnsi="宋体" w:cs="Times New Roman"/>
              </w:rPr>
              <w:t>³，</w:t>
            </w:r>
          </w:p>
          <w:p w14:paraId="00549878">
            <w:pPr>
              <w:jc w:val="left"/>
              <w:rPr>
                <w:rFonts w:hint="eastAsia" w:cs="Times New Roman"/>
              </w:rPr>
            </w:pPr>
            <w:r>
              <w:rPr>
                <w:rFonts w:cs="Times New Roman"/>
              </w:rPr>
              <w:t>23</w:t>
            </w:r>
            <w:r>
              <w:rPr>
                <w:rFonts w:hint="eastAsia" w:ascii="宋体" w:hAnsi="宋体" w:cs="Times New Roman"/>
              </w:rPr>
              <w:t>、内静磁场施加试验条件期间在</w:t>
            </w:r>
            <w:r>
              <w:rPr>
                <w:rFonts w:cs="Times New Roman"/>
              </w:rPr>
              <w:t>Q₃</w:t>
            </w:r>
            <w:r>
              <w:rPr>
                <w:rFonts w:hint="eastAsia" w:ascii="宋体" w:hAnsi="宋体" w:cs="Times New Roman"/>
              </w:rPr>
              <w:t>流量下测量水表的示值误差应不超过高区的最大允许误差为</w:t>
            </w:r>
            <w:r>
              <w:rPr>
                <w:rFonts w:cs="Times New Roman"/>
              </w:rPr>
              <w:t>0.48%</w:t>
            </w:r>
            <w:r>
              <w:rPr>
                <w:rFonts w:hint="eastAsia" w:ascii="宋体" w:hAnsi="宋体" w:cs="Times New Roman"/>
              </w:rPr>
              <w:t>，在</w:t>
            </w:r>
            <w:r>
              <w:rPr>
                <w:rFonts w:cs="Times New Roman"/>
              </w:rPr>
              <w:t>(-2%</w:t>
            </w:r>
            <w:r>
              <w:rPr>
                <w:rFonts w:hint="eastAsia" w:ascii="宋体" w:hAnsi="宋体" w:cs="Times New Roman"/>
              </w:rPr>
              <w:t>≤δ≤</w:t>
            </w:r>
            <w:r>
              <w:rPr>
                <w:rFonts w:cs="Times New Roman"/>
              </w:rPr>
              <w:t>2%)</w:t>
            </w:r>
            <w:r>
              <w:rPr>
                <w:rFonts w:hint="eastAsia" w:ascii="宋体" w:hAnsi="宋体" w:cs="Times New Roman"/>
              </w:rPr>
              <w:t>范围内；</w:t>
            </w:r>
          </w:p>
          <w:p w14:paraId="32813CD3">
            <w:pPr>
              <w:jc w:val="left"/>
              <w:rPr>
                <w:rFonts w:cs="Times New Roman"/>
              </w:rPr>
            </w:pPr>
            <w:r>
              <w:rPr>
                <w:rFonts w:hint="eastAsia"/>
              </w:rPr>
              <w:t>24</w:t>
            </w:r>
            <w:r>
              <w:rPr>
                <w:rFonts w:hint="eastAsia" w:ascii="宋体" w:hAnsi="宋体" w:cs="Times New Roman"/>
              </w:rPr>
              <w:t>、静磁场施加试验条件期间，水表功能检查正常</w:t>
            </w:r>
          </w:p>
          <w:p w14:paraId="39389887">
            <w:pPr>
              <w:jc w:val="left"/>
              <w:rPr>
                <w:rFonts w:hint="eastAsia" w:cs="Times New Roman"/>
              </w:rPr>
            </w:pPr>
            <w:r>
              <w:rPr>
                <w:rFonts w:hint="eastAsia"/>
              </w:rPr>
              <w:t>25</w:t>
            </w:r>
            <w:r>
              <w:rPr>
                <w:rFonts w:hint="eastAsia" w:ascii="宋体" w:hAnsi="宋体" w:cs="Times New Roman"/>
              </w:rPr>
              <w:t>、静磁场施加试验条件期间，机电转换误差：不超过±</w:t>
            </w:r>
            <w:r>
              <w:rPr>
                <w:rFonts w:hint="eastAsia"/>
              </w:rPr>
              <w:t>1</w:t>
            </w:r>
            <w:r>
              <w:rPr>
                <w:rFonts w:hint="eastAsia" w:ascii="宋体" w:hAnsi="宋体" w:cs="Times New Roman"/>
              </w:rPr>
              <w:t>个脉冲当量，一个最小转换分度值为</w:t>
            </w:r>
            <w:r>
              <w:rPr>
                <w:rFonts w:hint="eastAsia"/>
              </w:rPr>
              <w:t>-0.0074m</w:t>
            </w:r>
            <w:r>
              <w:rPr>
                <w:rFonts w:hint="eastAsia" w:ascii="宋体" w:hAnsi="宋体" w:cs="Times New Roman"/>
              </w:rPr>
              <w:t>³</w:t>
            </w:r>
          </w:p>
          <w:p w14:paraId="26F5CB6D">
            <w:pPr>
              <w:jc w:val="left"/>
              <w:rPr>
                <w:rFonts w:hint="eastAsia" w:cs="Times New Roman"/>
              </w:rPr>
            </w:pPr>
            <w:r>
              <w:rPr>
                <w:rFonts w:hint="eastAsia"/>
              </w:rPr>
              <w:t>26</w:t>
            </w:r>
            <w:r>
              <w:rPr>
                <w:rFonts w:hint="eastAsia" w:ascii="宋体" w:hAnsi="宋体" w:cs="Times New Roman"/>
              </w:rPr>
              <w:t>、在</w:t>
            </w:r>
            <w:r>
              <w:rPr>
                <w:rFonts w:hint="eastAsia"/>
              </w:rPr>
              <w:t>Q1</w:t>
            </w:r>
            <w:r>
              <w:rPr>
                <w:rFonts w:hint="eastAsia" w:ascii="宋体" w:hAnsi="宋体" w:cs="Times New Roman"/>
              </w:rPr>
              <w:t>～</w:t>
            </w:r>
            <w:r>
              <w:rPr>
                <w:rFonts w:hint="eastAsia"/>
              </w:rPr>
              <w:t>Q3</w:t>
            </w:r>
            <w:r>
              <w:rPr>
                <w:rFonts w:hint="eastAsia" w:ascii="宋体" w:hAnsi="宋体" w:cs="Times New Roman"/>
              </w:rPr>
              <w:t>范围内的任何一个流量下通过水表的最大压力损失不超过</w:t>
            </w:r>
            <w:r>
              <w:rPr>
                <w:rFonts w:hint="eastAsia"/>
              </w:rPr>
              <w:t>0.059MPa</w:t>
            </w:r>
          </w:p>
          <w:p w14:paraId="1C44D2D8">
            <w:pPr>
              <w:jc w:val="left"/>
              <w:rPr>
                <w:rFonts w:hint="eastAsia" w:cs="Times New Roman"/>
              </w:rPr>
            </w:pPr>
            <w:r>
              <w:rPr>
                <w:rFonts w:hint="eastAsia"/>
              </w:rPr>
              <w:t>27</w:t>
            </w:r>
            <w:r>
              <w:rPr>
                <w:rFonts w:hint="eastAsia" w:ascii="宋体" w:hAnsi="宋体" w:cs="Times New Roman"/>
              </w:rPr>
              <w:t>、在环境等级为</w:t>
            </w:r>
            <w:r>
              <w:rPr>
                <w:rFonts w:hint="eastAsia"/>
              </w:rPr>
              <w:t>B</w:t>
            </w:r>
            <w:r>
              <w:rPr>
                <w:rFonts w:hint="eastAsia" w:ascii="宋体" w:hAnsi="宋体" w:cs="Times New Roman"/>
              </w:rPr>
              <w:t>级、严酷度等级为</w:t>
            </w:r>
            <w:r>
              <w:rPr>
                <w:rFonts w:hint="eastAsia"/>
              </w:rPr>
              <w:t>3</w:t>
            </w:r>
            <w:r>
              <w:rPr>
                <w:rFonts w:hint="eastAsia" w:ascii="宋体" w:hAnsi="宋体" w:cs="Times New Roman"/>
              </w:rPr>
              <w:t>级、环境温度在</w:t>
            </w:r>
            <w:r>
              <w:rPr>
                <w:rFonts w:hint="eastAsia"/>
              </w:rPr>
              <w:t>(55</w:t>
            </w:r>
            <w:r>
              <w:rPr>
                <w:rFonts w:hint="eastAsia" w:ascii="宋体" w:hAnsi="宋体" w:cs="Times New Roman"/>
              </w:rPr>
              <w:t>±</w:t>
            </w:r>
            <w:r>
              <w:rPr>
                <w:rFonts w:hint="eastAsia"/>
              </w:rPr>
              <w:t>2)</w:t>
            </w:r>
            <w:r>
              <w:rPr>
                <w:rFonts w:hint="eastAsia" w:ascii="宋体" w:hAnsi="宋体" w:cs="Times New Roman"/>
              </w:rPr>
              <w:t>℃的环境下，经过持续</w:t>
            </w:r>
            <w:r>
              <w:rPr>
                <w:rFonts w:hint="eastAsia"/>
              </w:rPr>
              <w:t>2h</w:t>
            </w:r>
            <w:r>
              <w:rPr>
                <w:rFonts w:hint="eastAsia" w:ascii="宋体" w:hAnsi="宋体" w:cs="Times New Roman"/>
              </w:rPr>
              <w:t>循环</w:t>
            </w:r>
            <w:r>
              <w:rPr>
                <w:rFonts w:hint="eastAsia"/>
              </w:rPr>
              <w:t>1</w:t>
            </w:r>
            <w:r>
              <w:rPr>
                <w:rFonts w:hint="eastAsia" w:ascii="宋体" w:hAnsi="宋体" w:cs="Times New Roman"/>
              </w:rPr>
              <w:t>次的高温（无冷凝）试验：</w:t>
            </w:r>
          </w:p>
          <w:p w14:paraId="52F67062">
            <w:pPr>
              <w:jc w:val="left"/>
              <w:rPr>
                <w:rFonts w:hint="eastAsia" w:cs="Times New Roman"/>
              </w:rPr>
            </w:pPr>
            <w:r>
              <w:rPr>
                <w:rFonts w:hint="eastAsia"/>
              </w:rPr>
              <w:t>a)</w:t>
            </w:r>
            <w:r>
              <w:rPr>
                <w:rFonts w:hint="eastAsia" w:cs="Times New Roman"/>
              </w:rPr>
              <w:tab/>
            </w:r>
            <w:r>
              <w:rPr>
                <w:rFonts w:hint="eastAsia" w:ascii="宋体" w:hAnsi="宋体" w:cs="Times New Roman"/>
              </w:rPr>
              <w:t>施加试验条件期间，水表功能检查正常</w:t>
            </w:r>
          </w:p>
          <w:p w14:paraId="6CBEB448">
            <w:pPr>
              <w:jc w:val="left"/>
              <w:rPr>
                <w:rFonts w:hint="eastAsia" w:cs="Times New Roman"/>
              </w:rPr>
            </w:pPr>
            <w:r>
              <w:rPr>
                <w:rFonts w:hint="eastAsia"/>
              </w:rPr>
              <w:t>b)</w:t>
            </w:r>
            <w:r>
              <w:rPr>
                <w:rFonts w:hint="eastAsia" w:cs="Times New Roman"/>
              </w:rPr>
              <w:tab/>
            </w:r>
            <w:r>
              <w:rPr>
                <w:rFonts w:hint="eastAsia" w:ascii="宋体" w:hAnsi="宋体" w:cs="Times New Roman"/>
              </w:rPr>
              <w:t>机电转换误差不超过±</w:t>
            </w:r>
            <w:r>
              <w:rPr>
                <w:rFonts w:hint="eastAsia"/>
              </w:rPr>
              <w:t>1</w:t>
            </w:r>
            <w:r>
              <w:rPr>
                <w:rFonts w:hint="eastAsia" w:ascii="宋体" w:hAnsi="宋体" w:cs="Times New Roman"/>
              </w:rPr>
              <w:t>个脉冲当量，一个最小转换分度值为</w:t>
            </w:r>
            <w:r>
              <w:rPr>
                <w:rFonts w:hint="eastAsia"/>
              </w:rPr>
              <w:t>-0.0017m</w:t>
            </w:r>
            <w:r>
              <w:rPr>
                <w:rFonts w:hint="eastAsia" w:ascii="宋体" w:hAnsi="宋体" w:cs="Times New Roman"/>
              </w:rPr>
              <w:t>³</w:t>
            </w:r>
          </w:p>
          <w:p w14:paraId="68EA54A4">
            <w:pPr>
              <w:jc w:val="left"/>
              <w:rPr>
                <w:rFonts w:hint="eastAsia" w:cs="Times New Roman"/>
              </w:rPr>
            </w:pPr>
            <w:r>
              <w:rPr>
                <w:rFonts w:hint="eastAsia"/>
              </w:rPr>
              <w:t>28</w:t>
            </w:r>
            <w:r>
              <w:rPr>
                <w:rFonts w:hint="eastAsia" w:ascii="宋体" w:hAnsi="宋体" w:cs="Times New Roman"/>
              </w:rPr>
              <w:t>、在环境等级为</w:t>
            </w:r>
            <w:r>
              <w:rPr>
                <w:rFonts w:hint="eastAsia"/>
              </w:rPr>
              <w:t>B</w:t>
            </w:r>
            <w:r>
              <w:rPr>
                <w:rFonts w:hint="eastAsia" w:ascii="宋体" w:hAnsi="宋体" w:cs="Times New Roman"/>
              </w:rPr>
              <w:t>级、严酷度等级为</w:t>
            </w:r>
            <w:r>
              <w:rPr>
                <w:rFonts w:hint="eastAsia"/>
              </w:rPr>
              <w:t>1</w:t>
            </w:r>
            <w:r>
              <w:rPr>
                <w:rFonts w:hint="eastAsia" w:ascii="宋体" w:hAnsi="宋体" w:cs="Times New Roman"/>
              </w:rPr>
              <w:t>级、环境温度在</w:t>
            </w:r>
            <w:r>
              <w:rPr>
                <w:rFonts w:hint="eastAsia"/>
              </w:rPr>
              <w:t>(5</w:t>
            </w:r>
            <w:r>
              <w:rPr>
                <w:rFonts w:hint="eastAsia" w:ascii="宋体" w:hAnsi="宋体" w:cs="Times New Roman"/>
              </w:rPr>
              <w:t>±</w:t>
            </w:r>
            <w:r>
              <w:rPr>
                <w:rFonts w:hint="eastAsia"/>
              </w:rPr>
              <w:t>3)</w:t>
            </w:r>
            <w:r>
              <w:rPr>
                <w:rFonts w:hint="eastAsia" w:ascii="宋体" w:hAnsi="宋体" w:cs="Times New Roman"/>
              </w:rPr>
              <w:t>℃的环境下，经过持续</w:t>
            </w:r>
            <w:r>
              <w:rPr>
                <w:rFonts w:hint="eastAsia"/>
              </w:rPr>
              <w:t>2h</w:t>
            </w:r>
            <w:r>
              <w:rPr>
                <w:rFonts w:hint="eastAsia" w:ascii="宋体" w:hAnsi="宋体" w:cs="Times New Roman"/>
              </w:rPr>
              <w:t>循环</w:t>
            </w:r>
            <w:r>
              <w:rPr>
                <w:rFonts w:hint="eastAsia"/>
              </w:rPr>
              <w:t>1</w:t>
            </w:r>
            <w:r>
              <w:rPr>
                <w:rFonts w:hint="eastAsia" w:ascii="宋体" w:hAnsi="宋体" w:cs="Times New Roman"/>
              </w:rPr>
              <w:t>次的低温试验：</w:t>
            </w:r>
          </w:p>
          <w:p w14:paraId="30E73E88">
            <w:pPr>
              <w:jc w:val="left"/>
              <w:rPr>
                <w:rFonts w:hint="eastAsia" w:ascii="Times New Roman" w:hAnsi="Times New Roman" w:eastAsia="宋体" w:cs="Times New Roman"/>
                <w:sz w:val="21"/>
                <w:szCs w:val="22"/>
              </w:rPr>
            </w:pPr>
            <w:r>
              <w:rPr>
                <w:rFonts w:hint="eastAsia"/>
              </w:rPr>
              <w:t>a)</w:t>
            </w:r>
            <w:r>
              <w:rPr>
                <w:rFonts w:hint="eastAsia" w:cs="Times New Roman"/>
              </w:rPr>
              <w:tab/>
            </w:r>
            <w:r>
              <w:rPr>
                <w:rFonts w:hint="eastAsia" w:ascii="宋体" w:hAnsi="宋体" w:cs="Times New Roman"/>
              </w:rPr>
              <w:t>施加试验条件期间，水表功能检查正常</w:t>
            </w:r>
          </w:p>
        </w:tc>
        <w:tc>
          <w:tcPr>
            <w:tcW w:w="691" w:type="dxa"/>
            <w:tcBorders>
              <w:top w:val="single" w:color="auto" w:sz="4" w:space="0"/>
              <w:left w:val="nil"/>
              <w:bottom w:val="single" w:color="auto" w:sz="4" w:space="0"/>
              <w:right w:val="single" w:color="auto" w:sz="4" w:space="0"/>
            </w:tcBorders>
            <w:vAlign w:val="center"/>
          </w:tcPr>
          <w:p w14:paraId="6F7E0C1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0543B0F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z w:val="21"/>
                <w:szCs w:val="21"/>
              </w:rPr>
              <w:t>6</w:t>
            </w:r>
          </w:p>
        </w:tc>
        <w:tc>
          <w:tcPr>
            <w:tcW w:w="881" w:type="dxa"/>
            <w:tcBorders>
              <w:top w:val="single" w:color="auto" w:sz="4" w:space="0"/>
              <w:left w:val="nil"/>
              <w:bottom w:val="single" w:color="auto" w:sz="4" w:space="0"/>
              <w:right w:val="single" w:color="auto" w:sz="4" w:space="0"/>
            </w:tcBorders>
            <w:vAlign w:val="center"/>
          </w:tcPr>
          <w:p w14:paraId="5FD08C4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vAlign w:val="center"/>
          </w:tcPr>
          <w:p w14:paraId="19C51F0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48EFA65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水平安装</w:t>
            </w:r>
          </w:p>
        </w:tc>
      </w:tr>
      <w:tr w14:paraId="35850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2045424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4</w:t>
            </w:r>
          </w:p>
        </w:tc>
        <w:tc>
          <w:tcPr>
            <w:tcW w:w="1557" w:type="dxa"/>
            <w:tcBorders>
              <w:top w:val="single" w:color="auto" w:sz="4" w:space="0"/>
              <w:left w:val="nil"/>
              <w:bottom w:val="single" w:color="auto" w:sz="4" w:space="0"/>
              <w:right w:val="single" w:color="auto" w:sz="4" w:space="0"/>
            </w:tcBorders>
            <w:vAlign w:val="center"/>
          </w:tcPr>
          <w:p w14:paraId="22446209">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5FCB0085">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z w:val="21"/>
                <w:szCs w:val="21"/>
              </w:rPr>
              <w:t>（DN25）</w:t>
            </w:r>
          </w:p>
        </w:tc>
        <w:tc>
          <w:tcPr>
            <w:tcW w:w="7677" w:type="dxa"/>
            <w:vMerge w:val="continue"/>
            <w:tcBorders>
              <w:left w:val="nil"/>
              <w:right w:val="single" w:color="auto" w:sz="4" w:space="0"/>
            </w:tcBorders>
            <w:vAlign w:val="center"/>
          </w:tcPr>
          <w:p w14:paraId="28422965">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071039D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46FC9D9E">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z w:val="21"/>
                <w:szCs w:val="21"/>
              </w:rPr>
              <w:t>16</w:t>
            </w:r>
          </w:p>
        </w:tc>
        <w:tc>
          <w:tcPr>
            <w:tcW w:w="881" w:type="dxa"/>
            <w:tcBorders>
              <w:top w:val="single" w:color="auto" w:sz="4" w:space="0"/>
              <w:left w:val="nil"/>
              <w:bottom w:val="single" w:color="auto" w:sz="4" w:space="0"/>
              <w:right w:val="single" w:color="auto" w:sz="4" w:space="0"/>
            </w:tcBorders>
            <w:vAlign w:val="center"/>
          </w:tcPr>
          <w:p w14:paraId="3B9ABEB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vAlign w:val="center"/>
          </w:tcPr>
          <w:p w14:paraId="3151790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5D4D477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7443D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40D77FC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5</w:t>
            </w:r>
          </w:p>
        </w:tc>
        <w:tc>
          <w:tcPr>
            <w:tcW w:w="1557" w:type="dxa"/>
            <w:tcBorders>
              <w:top w:val="single" w:color="auto" w:sz="4" w:space="0"/>
              <w:left w:val="nil"/>
              <w:bottom w:val="single" w:color="auto" w:sz="4" w:space="0"/>
              <w:right w:val="single" w:color="auto" w:sz="4" w:space="0"/>
            </w:tcBorders>
            <w:vAlign w:val="center"/>
          </w:tcPr>
          <w:p w14:paraId="49E3C68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2F9B0007">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z w:val="21"/>
                <w:szCs w:val="21"/>
              </w:rPr>
              <w:t>（DN32）</w:t>
            </w:r>
          </w:p>
        </w:tc>
        <w:tc>
          <w:tcPr>
            <w:tcW w:w="7677" w:type="dxa"/>
            <w:vMerge w:val="continue"/>
            <w:tcBorders>
              <w:left w:val="nil"/>
              <w:right w:val="single" w:color="auto" w:sz="4" w:space="0"/>
            </w:tcBorders>
            <w:vAlign w:val="center"/>
          </w:tcPr>
          <w:p w14:paraId="20E2FA0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6181295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2A4EAEA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z w:val="21"/>
                <w:szCs w:val="21"/>
              </w:rPr>
              <w:t>97</w:t>
            </w:r>
          </w:p>
        </w:tc>
        <w:tc>
          <w:tcPr>
            <w:tcW w:w="881" w:type="dxa"/>
            <w:tcBorders>
              <w:top w:val="single" w:color="auto" w:sz="4" w:space="0"/>
              <w:left w:val="nil"/>
              <w:bottom w:val="single" w:color="auto" w:sz="4" w:space="0"/>
              <w:right w:val="single" w:color="auto" w:sz="4" w:space="0"/>
            </w:tcBorders>
            <w:vAlign w:val="center"/>
          </w:tcPr>
          <w:p w14:paraId="6767A62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vAlign w:val="center"/>
          </w:tcPr>
          <w:p w14:paraId="5A18AED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11DEAD9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30B36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1B174E3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6</w:t>
            </w:r>
          </w:p>
        </w:tc>
        <w:tc>
          <w:tcPr>
            <w:tcW w:w="1557" w:type="dxa"/>
            <w:tcBorders>
              <w:top w:val="single" w:color="auto" w:sz="4" w:space="0"/>
              <w:left w:val="nil"/>
              <w:bottom w:val="single" w:color="auto" w:sz="4" w:space="0"/>
              <w:right w:val="single" w:color="auto" w:sz="4" w:space="0"/>
            </w:tcBorders>
            <w:vAlign w:val="center"/>
          </w:tcPr>
          <w:p w14:paraId="0B03776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1321FB5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（DN40）</w:t>
            </w:r>
          </w:p>
        </w:tc>
        <w:tc>
          <w:tcPr>
            <w:tcW w:w="7677" w:type="dxa"/>
            <w:vMerge w:val="continue"/>
            <w:tcBorders>
              <w:left w:val="nil"/>
              <w:right w:val="single" w:color="auto" w:sz="4" w:space="0"/>
            </w:tcBorders>
            <w:vAlign w:val="center"/>
          </w:tcPr>
          <w:p w14:paraId="046D3929">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576BC18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637D470E">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17</w:t>
            </w:r>
          </w:p>
        </w:tc>
        <w:tc>
          <w:tcPr>
            <w:tcW w:w="881" w:type="dxa"/>
            <w:tcBorders>
              <w:top w:val="single" w:color="auto" w:sz="4" w:space="0"/>
              <w:left w:val="nil"/>
              <w:bottom w:val="single" w:color="auto" w:sz="4" w:space="0"/>
              <w:right w:val="single" w:color="auto" w:sz="4" w:space="0"/>
            </w:tcBorders>
            <w:vAlign w:val="center"/>
          </w:tcPr>
          <w:p w14:paraId="75BFA0A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vAlign w:val="center"/>
          </w:tcPr>
          <w:p w14:paraId="7D1B8CA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539C951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11B49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55591A7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7</w:t>
            </w:r>
          </w:p>
        </w:tc>
        <w:tc>
          <w:tcPr>
            <w:tcW w:w="1557" w:type="dxa"/>
            <w:tcBorders>
              <w:top w:val="single" w:color="auto" w:sz="4" w:space="0"/>
              <w:left w:val="nil"/>
              <w:bottom w:val="single" w:color="auto" w:sz="4" w:space="0"/>
              <w:right w:val="single" w:color="auto" w:sz="4" w:space="0"/>
            </w:tcBorders>
            <w:vAlign w:val="center"/>
          </w:tcPr>
          <w:p w14:paraId="5496C78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64099D4E">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（DN50）</w:t>
            </w:r>
          </w:p>
        </w:tc>
        <w:tc>
          <w:tcPr>
            <w:tcW w:w="7677" w:type="dxa"/>
            <w:vMerge w:val="continue"/>
            <w:tcBorders>
              <w:left w:val="nil"/>
              <w:right w:val="single" w:color="auto" w:sz="4" w:space="0"/>
            </w:tcBorders>
            <w:vAlign w:val="center"/>
          </w:tcPr>
          <w:p w14:paraId="42DEDAD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5118A2E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4D30699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12</w:t>
            </w:r>
          </w:p>
        </w:tc>
        <w:tc>
          <w:tcPr>
            <w:tcW w:w="881" w:type="dxa"/>
            <w:tcBorders>
              <w:top w:val="single" w:color="auto" w:sz="4" w:space="0"/>
              <w:left w:val="nil"/>
              <w:bottom w:val="single" w:color="auto" w:sz="4" w:space="0"/>
              <w:right w:val="single" w:color="auto" w:sz="4" w:space="0"/>
            </w:tcBorders>
            <w:vAlign w:val="center"/>
          </w:tcPr>
          <w:p w14:paraId="162B0D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vAlign w:val="center"/>
          </w:tcPr>
          <w:p w14:paraId="0A26EC7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3CDE1D7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1C5EE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354B8E2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8</w:t>
            </w:r>
          </w:p>
        </w:tc>
        <w:tc>
          <w:tcPr>
            <w:tcW w:w="1557" w:type="dxa"/>
            <w:tcBorders>
              <w:top w:val="single" w:color="auto" w:sz="4" w:space="0"/>
              <w:left w:val="nil"/>
              <w:bottom w:val="single" w:color="auto" w:sz="4" w:space="0"/>
              <w:right w:val="single" w:color="auto" w:sz="4" w:space="0"/>
            </w:tcBorders>
            <w:vAlign w:val="center"/>
          </w:tcPr>
          <w:p w14:paraId="16A473F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38A2538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（DN65）</w:t>
            </w:r>
          </w:p>
        </w:tc>
        <w:tc>
          <w:tcPr>
            <w:tcW w:w="7677" w:type="dxa"/>
            <w:vMerge w:val="continue"/>
            <w:tcBorders>
              <w:left w:val="nil"/>
              <w:bottom w:val="single" w:color="auto" w:sz="4" w:space="0"/>
              <w:right w:val="single" w:color="auto" w:sz="4" w:space="0"/>
            </w:tcBorders>
            <w:vAlign w:val="center"/>
          </w:tcPr>
          <w:p w14:paraId="6147B69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117685F5">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326EA85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40</w:t>
            </w:r>
          </w:p>
        </w:tc>
        <w:tc>
          <w:tcPr>
            <w:tcW w:w="881" w:type="dxa"/>
            <w:tcBorders>
              <w:top w:val="single" w:color="auto" w:sz="4" w:space="0"/>
              <w:left w:val="nil"/>
              <w:bottom w:val="single" w:color="auto" w:sz="4" w:space="0"/>
              <w:right w:val="single" w:color="auto" w:sz="4" w:space="0"/>
            </w:tcBorders>
            <w:vAlign w:val="center"/>
          </w:tcPr>
          <w:p w14:paraId="2D2365A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vAlign w:val="center"/>
          </w:tcPr>
          <w:p w14:paraId="2B39896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5AF6466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63F4B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17B043E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b w:val="0"/>
                <w:bCs w:val="0"/>
                <w:color w:val="auto"/>
                <w:spacing w:val="6"/>
                <w:sz w:val="21"/>
                <w:szCs w:val="21"/>
                <w:lang w:val="en-US" w:eastAsia="zh-CN"/>
              </w:rPr>
            </w:pPr>
            <w:r>
              <w:rPr>
                <w:rFonts w:hint="eastAsia" w:ascii="宋体" w:hAnsi="宋体" w:eastAsia="宋体" w:cs="宋体"/>
                <w:b w:val="0"/>
                <w:bCs w:val="0"/>
                <w:color w:val="auto"/>
                <w:spacing w:val="6"/>
                <w:sz w:val="21"/>
                <w:szCs w:val="21"/>
                <w:lang w:val="en-US" w:eastAsia="zh-CN"/>
              </w:rPr>
              <w:t>9</w:t>
            </w:r>
          </w:p>
        </w:tc>
        <w:tc>
          <w:tcPr>
            <w:tcW w:w="1557" w:type="dxa"/>
            <w:tcBorders>
              <w:top w:val="single" w:color="auto" w:sz="4" w:space="0"/>
              <w:left w:val="nil"/>
              <w:bottom w:val="single" w:color="auto" w:sz="4" w:space="0"/>
              <w:right w:val="single" w:color="auto" w:sz="4" w:space="0"/>
            </w:tcBorders>
            <w:shd w:val="clear" w:color="auto" w:fill="auto"/>
            <w:vAlign w:val="center"/>
          </w:tcPr>
          <w:p w14:paraId="27A9FBF9">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4G无线管网压力变送器</w:t>
            </w:r>
          </w:p>
        </w:tc>
        <w:tc>
          <w:tcPr>
            <w:tcW w:w="7677" w:type="dxa"/>
            <w:tcBorders>
              <w:top w:val="nil"/>
              <w:left w:val="nil"/>
              <w:bottom w:val="single" w:color="auto" w:sz="4" w:space="0"/>
              <w:right w:val="single" w:color="auto" w:sz="4" w:space="0"/>
            </w:tcBorders>
            <w:shd w:val="clear" w:color="auto" w:fill="auto"/>
            <w:vAlign w:val="center"/>
          </w:tcPr>
          <w:p w14:paraId="2B3739BF">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1、防爆设计：隔爆铝壳，电路板系统本质安全。</w:t>
            </w:r>
          </w:p>
          <w:p w14:paraId="2CE2B23B">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2、防护等级：IP67，全密封防水设计。</w:t>
            </w:r>
          </w:p>
          <w:p w14:paraId="2359F69F">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3、LCD 显示：-40~70℃宽温度工作范围，可显示压力数据、电池电压、无线信道等多种信息。</w:t>
            </w:r>
          </w:p>
          <w:p w14:paraId="395FE88E">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4、38Ah 高能量锂亚电池，超长工作寿命。</w:t>
            </w:r>
          </w:p>
          <w:p w14:paraId="66517613">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5、通讯方式：4G、NB、Lora，Zigbee。</w:t>
            </w:r>
          </w:p>
          <w:p w14:paraId="5E1F68DC">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6、压力测量：0-60MPa（可定制）。</w:t>
            </w:r>
          </w:p>
          <w:p w14:paraId="69E0B75C">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lang w:eastAsia="zh-CN"/>
              </w:rPr>
            </w:pPr>
            <w:r>
              <w:rPr>
                <w:rFonts w:hint="eastAsia" w:ascii="Calibri" w:hAnsi="Calibri" w:eastAsia="宋体" w:cs="Times New Roman"/>
                <w:b w:val="0"/>
                <w:bCs w:val="0"/>
                <w:color w:val="auto"/>
                <w:szCs w:val="21"/>
              </w:rPr>
              <w:t xml:space="preserve">7、精度等级：0.25%F.S </w:t>
            </w:r>
            <w:r>
              <w:rPr>
                <w:rFonts w:hint="eastAsia" w:ascii="Calibri" w:hAnsi="Calibri" w:eastAsia="宋体" w:cs="Times New Roman"/>
                <w:b w:val="0"/>
                <w:bCs w:val="0"/>
                <w:color w:val="auto"/>
                <w:szCs w:val="21"/>
                <w:lang w:eastAsia="zh-CN"/>
              </w:rPr>
              <w:t>。</w:t>
            </w:r>
          </w:p>
          <w:p w14:paraId="0002EB49">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lang w:eastAsia="zh-CN"/>
              </w:rPr>
            </w:pPr>
            <w:r>
              <w:rPr>
                <w:rFonts w:hint="eastAsia" w:ascii="Calibri" w:hAnsi="Calibri" w:eastAsia="宋体" w:cs="Times New Roman"/>
                <w:b w:val="0"/>
                <w:bCs w:val="0"/>
                <w:color w:val="auto"/>
                <w:szCs w:val="21"/>
              </w:rPr>
              <w:t>8、过载压力：150%F.S</w:t>
            </w:r>
            <w:r>
              <w:rPr>
                <w:rFonts w:hint="eastAsia" w:ascii="Calibri" w:hAnsi="Calibri" w:eastAsia="宋体" w:cs="Times New Roman"/>
                <w:b w:val="0"/>
                <w:bCs w:val="0"/>
                <w:color w:val="auto"/>
                <w:szCs w:val="21"/>
                <w:lang w:eastAsia="zh-CN"/>
              </w:rPr>
              <w:t>。</w:t>
            </w:r>
          </w:p>
          <w:p w14:paraId="10FBC4FE">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9、上传时间：1分钟—12小时（可设置）。</w:t>
            </w:r>
          </w:p>
          <w:p w14:paraId="61CA2512">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lang w:eastAsia="zh-CN"/>
              </w:rPr>
            </w:pPr>
            <w:r>
              <w:rPr>
                <w:rFonts w:hint="eastAsia" w:ascii="Calibri" w:hAnsi="Calibri" w:eastAsia="宋体" w:cs="Times New Roman"/>
                <w:b w:val="0"/>
                <w:bCs w:val="0"/>
                <w:color w:val="auto"/>
                <w:szCs w:val="21"/>
              </w:rPr>
              <w:t>10、产品重：2000g</w:t>
            </w:r>
            <w:r>
              <w:rPr>
                <w:rFonts w:hint="eastAsia" w:ascii="Calibri" w:hAnsi="Calibri" w:eastAsia="宋体" w:cs="Times New Roman"/>
                <w:b w:val="0"/>
                <w:bCs w:val="0"/>
                <w:color w:val="auto"/>
                <w:szCs w:val="21"/>
                <w:lang w:eastAsia="zh-CN"/>
              </w:rPr>
              <w:t>。</w:t>
            </w:r>
          </w:p>
          <w:p w14:paraId="79CF5CDB">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rPr>
            </w:pPr>
            <w:r>
              <w:rPr>
                <w:rFonts w:hint="eastAsia" w:ascii="Calibri" w:hAnsi="Calibri" w:eastAsia="宋体" w:cs="Times New Roman"/>
                <w:b w:val="0"/>
                <w:bCs w:val="0"/>
                <w:color w:val="auto"/>
                <w:szCs w:val="21"/>
              </w:rPr>
              <w:t>11、本体和显示表头可以任意互换，维修方便。</w:t>
            </w:r>
          </w:p>
          <w:p w14:paraId="02FC7B87">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lang w:eastAsia="zh-CN"/>
              </w:rPr>
            </w:pPr>
            <w:r>
              <w:rPr>
                <w:rFonts w:hint="eastAsia" w:ascii="Calibri" w:hAnsi="Calibri" w:eastAsia="宋体" w:cs="Times New Roman"/>
                <w:b w:val="0"/>
                <w:bCs w:val="0"/>
                <w:color w:val="auto"/>
                <w:szCs w:val="21"/>
              </w:rPr>
              <w:t>12、</w:t>
            </w:r>
            <w:r>
              <w:rPr>
                <w:rFonts w:hint="eastAsia" w:ascii="Calibri" w:hAnsi="Calibri" w:eastAsia="宋体" w:cs="Times New Roman"/>
                <w:b w:val="0"/>
                <w:bCs w:val="0"/>
                <w:color w:val="auto"/>
                <w:szCs w:val="21"/>
                <w:lang w:val="en-US" w:eastAsia="zh-CN"/>
              </w:rPr>
              <w:t xml:space="preserve"> </w:t>
            </w:r>
            <w:r>
              <w:rPr>
                <w:rFonts w:hint="eastAsia" w:ascii="Calibri" w:hAnsi="Calibri" w:eastAsia="宋体" w:cs="Times New Roman"/>
                <w:b w:val="0"/>
                <w:bCs w:val="0"/>
                <w:color w:val="auto"/>
                <w:szCs w:val="21"/>
              </w:rPr>
              <w:t>可以远程配置参数</w:t>
            </w:r>
            <w:r>
              <w:rPr>
                <w:rFonts w:hint="eastAsia" w:ascii="Calibri" w:hAnsi="Calibri" w:eastAsia="宋体" w:cs="Times New Roman"/>
                <w:b w:val="0"/>
                <w:bCs w:val="0"/>
                <w:color w:val="auto"/>
                <w:szCs w:val="21"/>
                <w:lang w:eastAsia="zh-CN"/>
              </w:rPr>
              <w:t>。</w:t>
            </w:r>
          </w:p>
          <w:p w14:paraId="796C97CA">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lang w:eastAsia="zh-CN"/>
              </w:rPr>
            </w:pPr>
            <w:r>
              <w:rPr>
                <w:rFonts w:hint="eastAsia" w:ascii="Calibri" w:hAnsi="Calibri" w:eastAsia="宋体" w:cs="Times New Roman"/>
                <w:b w:val="0"/>
                <w:bCs w:val="0"/>
                <w:color w:val="auto"/>
                <w:szCs w:val="21"/>
              </w:rPr>
              <w:t>13、突变数据上传（首先对几个突变数据简单的判别在上传）</w:t>
            </w:r>
            <w:r>
              <w:rPr>
                <w:rFonts w:hint="eastAsia" w:ascii="Calibri" w:hAnsi="Calibri" w:eastAsia="宋体" w:cs="Times New Roman"/>
                <w:b w:val="0"/>
                <w:bCs w:val="0"/>
                <w:color w:val="auto"/>
                <w:szCs w:val="21"/>
                <w:lang w:eastAsia="zh-CN"/>
              </w:rPr>
              <w:t>。</w:t>
            </w:r>
          </w:p>
          <w:p w14:paraId="33EAD6D2">
            <w:pPr>
              <w:pageBreakBefore w:val="0"/>
              <w:kinsoku/>
              <w:wordWrap/>
              <w:overflowPunct/>
              <w:topLinePunct w:val="0"/>
              <w:autoSpaceDE/>
              <w:autoSpaceDN/>
              <w:bidi w:val="0"/>
              <w:adjustRightInd w:val="0"/>
              <w:snapToGrid w:val="0"/>
              <w:spacing w:beforeAutospacing="0" w:afterAutospacing="0" w:line="240" w:lineRule="auto"/>
              <w:rPr>
                <w:rFonts w:hint="eastAsia" w:ascii="Calibri" w:hAnsi="Calibri" w:eastAsia="宋体" w:cs="Times New Roman"/>
                <w:b w:val="0"/>
                <w:bCs w:val="0"/>
                <w:color w:val="auto"/>
                <w:szCs w:val="21"/>
                <w:lang w:eastAsia="zh-CN"/>
              </w:rPr>
            </w:pPr>
            <w:r>
              <w:rPr>
                <w:rFonts w:hint="eastAsia" w:ascii="Calibri" w:hAnsi="Calibri" w:eastAsia="宋体" w:cs="Times New Roman"/>
                <w:b w:val="0"/>
                <w:bCs w:val="0"/>
                <w:color w:val="auto"/>
                <w:szCs w:val="21"/>
              </w:rPr>
              <w:t>14、</w:t>
            </w:r>
            <w:r>
              <w:rPr>
                <w:rFonts w:hint="eastAsia" w:ascii="Calibri" w:hAnsi="Calibri" w:eastAsia="宋体" w:cs="Times New Roman"/>
                <w:b w:val="0"/>
                <w:bCs w:val="0"/>
                <w:color w:val="auto"/>
                <w:szCs w:val="21"/>
                <w:lang w:val="en-US" w:eastAsia="zh-CN"/>
              </w:rPr>
              <w:t xml:space="preserve"> </w:t>
            </w:r>
            <w:r>
              <w:rPr>
                <w:rFonts w:hint="eastAsia" w:ascii="Calibri" w:hAnsi="Calibri" w:eastAsia="宋体" w:cs="Times New Roman"/>
                <w:b w:val="0"/>
                <w:bCs w:val="0"/>
                <w:color w:val="auto"/>
                <w:szCs w:val="21"/>
              </w:rPr>
              <w:t>低功耗，电池供电且可以充电（或则外置电池，方便更换）；低电量告警</w:t>
            </w:r>
            <w:r>
              <w:rPr>
                <w:rFonts w:hint="eastAsia" w:ascii="Calibri" w:hAnsi="Calibri" w:eastAsia="宋体" w:cs="Times New Roman"/>
                <w:b w:val="0"/>
                <w:bCs w:val="0"/>
                <w:color w:val="auto"/>
                <w:szCs w:val="21"/>
                <w:lang w:eastAsia="zh-CN"/>
              </w:rPr>
              <w:t>。</w:t>
            </w:r>
          </w:p>
          <w:p w14:paraId="0BB4A67E">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sz w:val="21"/>
                <w:szCs w:val="21"/>
                <w:lang w:val="en-US" w:eastAsia="zh-CN"/>
              </w:rPr>
            </w:pPr>
            <w:r>
              <w:rPr>
                <w:rFonts w:hint="eastAsia" w:ascii="Calibri" w:hAnsi="Calibri" w:eastAsia="宋体" w:cs="Times New Roman"/>
                <w:b w:val="0"/>
                <w:bCs w:val="0"/>
                <w:color w:val="auto"/>
                <w:szCs w:val="21"/>
              </w:rPr>
              <w:t>15、现场液晶显示</w:t>
            </w:r>
            <w:r>
              <w:rPr>
                <w:rFonts w:hint="eastAsia" w:ascii="Calibri" w:hAnsi="Calibri" w:eastAsia="宋体" w:cs="Times New Roman"/>
                <w:b w:val="0"/>
                <w:bCs w:val="0"/>
                <w:color w:val="auto"/>
                <w:szCs w:val="21"/>
                <w:lang w:eastAsia="zh-CN"/>
              </w:rPr>
              <w:t>。</w:t>
            </w:r>
          </w:p>
        </w:tc>
        <w:tc>
          <w:tcPr>
            <w:tcW w:w="691" w:type="dxa"/>
            <w:tcBorders>
              <w:top w:val="single" w:color="auto" w:sz="4" w:space="0"/>
              <w:left w:val="nil"/>
              <w:bottom w:val="single" w:color="auto" w:sz="4" w:space="0"/>
              <w:right w:val="single" w:color="auto" w:sz="4" w:space="0"/>
            </w:tcBorders>
            <w:shd w:val="clear" w:color="auto" w:fill="auto"/>
            <w:vAlign w:val="center"/>
          </w:tcPr>
          <w:p w14:paraId="624A9D3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只</w:t>
            </w:r>
          </w:p>
        </w:tc>
        <w:tc>
          <w:tcPr>
            <w:tcW w:w="673" w:type="dxa"/>
            <w:tcBorders>
              <w:top w:val="single" w:color="auto" w:sz="4" w:space="0"/>
              <w:left w:val="nil"/>
              <w:bottom w:val="single" w:color="auto" w:sz="4" w:space="0"/>
              <w:right w:val="single" w:color="auto" w:sz="4" w:space="0"/>
            </w:tcBorders>
            <w:shd w:val="clear" w:color="auto" w:fill="auto"/>
            <w:vAlign w:val="center"/>
          </w:tcPr>
          <w:p w14:paraId="28536DB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rPr>
              <w:t>5</w:t>
            </w:r>
          </w:p>
        </w:tc>
        <w:tc>
          <w:tcPr>
            <w:tcW w:w="881" w:type="dxa"/>
            <w:tcBorders>
              <w:top w:val="single" w:color="auto" w:sz="4" w:space="0"/>
              <w:left w:val="nil"/>
              <w:bottom w:val="single" w:color="auto" w:sz="4" w:space="0"/>
              <w:right w:val="single" w:color="auto" w:sz="4" w:space="0"/>
            </w:tcBorders>
            <w:vAlign w:val="center"/>
          </w:tcPr>
          <w:p w14:paraId="4DDD459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sz w:val="21"/>
                <w:szCs w:val="21"/>
                <w:lang w:val="en-US" w:eastAsia="zh-CN"/>
              </w:rPr>
            </w:pPr>
          </w:p>
        </w:tc>
        <w:tc>
          <w:tcPr>
            <w:tcW w:w="828" w:type="dxa"/>
            <w:tcBorders>
              <w:top w:val="single" w:color="auto" w:sz="4" w:space="0"/>
              <w:left w:val="nil"/>
              <w:bottom w:val="single" w:color="auto" w:sz="4" w:space="0"/>
              <w:right w:val="single" w:color="auto" w:sz="4" w:space="0"/>
            </w:tcBorders>
            <w:vAlign w:val="center"/>
          </w:tcPr>
          <w:p w14:paraId="3A5AB33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sz w:val="21"/>
                <w:szCs w:val="21"/>
                <w:lang w:val="en-US" w:eastAsia="zh-CN"/>
              </w:rPr>
            </w:pPr>
          </w:p>
        </w:tc>
        <w:tc>
          <w:tcPr>
            <w:tcW w:w="1018" w:type="dxa"/>
            <w:tcBorders>
              <w:top w:val="single" w:color="auto" w:sz="4" w:space="0"/>
              <w:left w:val="nil"/>
              <w:bottom w:val="single" w:color="auto" w:sz="4" w:space="0"/>
              <w:right w:val="single" w:color="auto" w:sz="4" w:space="0"/>
            </w:tcBorders>
            <w:vAlign w:val="center"/>
          </w:tcPr>
          <w:p w14:paraId="1266B24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47132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376" w:type="dxa"/>
            <w:gridSpan w:val="2"/>
            <w:tcBorders>
              <w:top w:val="single" w:color="auto" w:sz="4" w:space="0"/>
              <w:left w:val="single" w:color="auto" w:sz="4" w:space="0"/>
              <w:bottom w:val="single" w:color="auto" w:sz="4" w:space="0"/>
              <w:right w:val="single" w:color="auto" w:sz="4" w:space="0"/>
            </w:tcBorders>
            <w:vAlign w:val="center"/>
          </w:tcPr>
          <w:p w14:paraId="481D77E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kern w:val="0"/>
                <w:sz w:val="21"/>
                <w:szCs w:val="21"/>
                <w:lang w:bidi="ar"/>
              </w:rPr>
              <w:t>合计</w:t>
            </w:r>
          </w:p>
        </w:tc>
        <w:tc>
          <w:tcPr>
            <w:tcW w:w="11768" w:type="dxa"/>
            <w:gridSpan w:val="6"/>
            <w:tcBorders>
              <w:top w:val="single" w:color="auto" w:sz="4" w:space="0"/>
              <w:left w:val="nil"/>
              <w:bottom w:val="single" w:color="auto" w:sz="4" w:space="0"/>
              <w:right w:val="single" w:color="auto" w:sz="4" w:space="0"/>
            </w:tcBorders>
            <w:vAlign w:val="center"/>
          </w:tcPr>
          <w:p w14:paraId="5B38AED7">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rPr>
            </w:pPr>
          </w:p>
        </w:tc>
      </w:tr>
    </w:tbl>
    <w:p w14:paraId="568B3919">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bCs/>
          <w:color w:val="auto"/>
          <w:sz w:val="28"/>
          <w:szCs w:val="28"/>
          <w:lang w:val="en-US" w:eastAsia="zh-CN"/>
        </w:rPr>
      </w:pPr>
    </w:p>
    <w:p w14:paraId="3BE20ECD">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bCs/>
          <w:color w:val="auto"/>
          <w:sz w:val="28"/>
          <w:szCs w:val="28"/>
          <w:lang w:val="en-US" w:eastAsia="zh-CN"/>
        </w:rPr>
      </w:pPr>
    </w:p>
    <w:p w14:paraId="5D148AEB">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三、水电能耗系统技术参数（生活服务区域）</w:t>
      </w:r>
    </w:p>
    <w:p w14:paraId="4B3B5074">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1、海洋路校区</w:t>
      </w:r>
    </w:p>
    <w:tbl>
      <w:tblPr>
        <w:tblStyle w:val="9"/>
        <w:tblpPr w:leftFromText="180" w:rightFromText="180" w:vertAnchor="text" w:horzAnchor="page" w:tblpX="1247" w:tblpY="1078"/>
        <w:tblOverlap w:val="never"/>
        <w:tblW w:w="141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557"/>
        <w:gridCol w:w="7677"/>
        <w:gridCol w:w="691"/>
        <w:gridCol w:w="673"/>
        <w:gridCol w:w="881"/>
        <w:gridCol w:w="828"/>
        <w:gridCol w:w="1018"/>
      </w:tblGrid>
      <w:tr w14:paraId="53666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19" w:type="dxa"/>
            <w:tcBorders>
              <w:top w:val="single" w:color="auto" w:sz="4" w:space="0"/>
              <w:left w:val="single" w:color="auto" w:sz="4" w:space="0"/>
              <w:bottom w:val="single" w:color="auto" w:sz="4" w:space="0"/>
              <w:right w:val="single" w:color="auto" w:sz="4" w:space="0"/>
            </w:tcBorders>
            <w:vAlign w:val="center"/>
          </w:tcPr>
          <w:p w14:paraId="2B92005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序号</w:t>
            </w:r>
          </w:p>
        </w:tc>
        <w:tc>
          <w:tcPr>
            <w:tcW w:w="1557" w:type="dxa"/>
            <w:tcBorders>
              <w:top w:val="single" w:color="auto" w:sz="4" w:space="0"/>
              <w:left w:val="nil"/>
              <w:bottom w:val="single" w:color="auto" w:sz="4" w:space="0"/>
              <w:right w:val="single" w:color="auto" w:sz="4" w:space="0"/>
            </w:tcBorders>
            <w:vAlign w:val="center"/>
          </w:tcPr>
          <w:p w14:paraId="79C62E2D">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产品名称</w:t>
            </w:r>
          </w:p>
        </w:tc>
        <w:tc>
          <w:tcPr>
            <w:tcW w:w="7677" w:type="dxa"/>
            <w:tcBorders>
              <w:top w:val="single" w:color="auto" w:sz="4" w:space="0"/>
              <w:left w:val="nil"/>
              <w:bottom w:val="single" w:color="auto" w:sz="4" w:space="0"/>
              <w:right w:val="single" w:color="auto" w:sz="4" w:space="0"/>
            </w:tcBorders>
            <w:vAlign w:val="center"/>
          </w:tcPr>
          <w:p w14:paraId="4799EAF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技术参数</w:t>
            </w:r>
          </w:p>
        </w:tc>
        <w:tc>
          <w:tcPr>
            <w:tcW w:w="691" w:type="dxa"/>
            <w:tcBorders>
              <w:top w:val="single" w:color="auto" w:sz="4" w:space="0"/>
              <w:left w:val="nil"/>
              <w:bottom w:val="single" w:color="auto" w:sz="4" w:space="0"/>
              <w:right w:val="single" w:color="auto" w:sz="4" w:space="0"/>
            </w:tcBorders>
            <w:vAlign w:val="center"/>
          </w:tcPr>
          <w:p w14:paraId="33221FA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单位</w:t>
            </w:r>
          </w:p>
        </w:tc>
        <w:tc>
          <w:tcPr>
            <w:tcW w:w="673" w:type="dxa"/>
            <w:tcBorders>
              <w:top w:val="single" w:color="auto" w:sz="4" w:space="0"/>
              <w:left w:val="nil"/>
              <w:bottom w:val="single" w:color="auto" w:sz="4" w:space="0"/>
              <w:right w:val="single" w:color="auto" w:sz="4" w:space="0"/>
            </w:tcBorders>
            <w:vAlign w:val="center"/>
          </w:tcPr>
          <w:p w14:paraId="5762AFD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数量</w:t>
            </w:r>
          </w:p>
        </w:tc>
        <w:tc>
          <w:tcPr>
            <w:tcW w:w="881" w:type="dxa"/>
            <w:tcBorders>
              <w:top w:val="single" w:color="auto" w:sz="4" w:space="0"/>
              <w:left w:val="nil"/>
              <w:bottom w:val="single" w:color="auto" w:sz="4" w:space="0"/>
              <w:right w:val="single" w:color="auto" w:sz="4" w:space="0"/>
            </w:tcBorders>
            <w:vAlign w:val="center"/>
          </w:tcPr>
          <w:p w14:paraId="1EDCC40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单价</w:t>
            </w:r>
            <w:r>
              <w:rPr>
                <w:rFonts w:hint="eastAsia" w:ascii="宋体" w:hAnsi="宋体" w:eastAsia="宋体" w:cs="宋体"/>
                <w:b/>
                <w:bCs/>
                <w:color w:val="auto"/>
                <w:spacing w:val="6"/>
                <w:sz w:val="21"/>
                <w:szCs w:val="21"/>
                <w:lang w:eastAsia="zh-CN"/>
              </w:rPr>
              <w:t>（</w:t>
            </w:r>
            <w:r>
              <w:rPr>
                <w:rFonts w:hint="eastAsia" w:ascii="宋体" w:hAnsi="宋体" w:eastAsia="宋体" w:cs="宋体"/>
                <w:b/>
                <w:bCs/>
                <w:color w:val="auto"/>
                <w:spacing w:val="6"/>
                <w:sz w:val="21"/>
                <w:szCs w:val="21"/>
                <w:lang w:val="en-US" w:eastAsia="zh-CN"/>
              </w:rPr>
              <w:t>元</w:t>
            </w:r>
            <w:r>
              <w:rPr>
                <w:rFonts w:hint="eastAsia" w:ascii="宋体" w:hAnsi="宋体" w:eastAsia="宋体" w:cs="宋体"/>
                <w:b/>
                <w:bCs/>
                <w:color w:val="auto"/>
                <w:spacing w:val="6"/>
                <w:sz w:val="21"/>
                <w:szCs w:val="21"/>
                <w:lang w:eastAsia="zh-CN"/>
              </w:rPr>
              <w:t>）</w:t>
            </w:r>
          </w:p>
        </w:tc>
        <w:tc>
          <w:tcPr>
            <w:tcW w:w="828" w:type="dxa"/>
            <w:tcBorders>
              <w:top w:val="single" w:color="auto" w:sz="4" w:space="0"/>
              <w:left w:val="nil"/>
              <w:bottom w:val="single" w:color="auto" w:sz="4" w:space="0"/>
              <w:right w:val="single" w:color="auto" w:sz="4" w:space="0"/>
            </w:tcBorders>
            <w:vAlign w:val="center"/>
          </w:tcPr>
          <w:p w14:paraId="307F790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合价</w:t>
            </w:r>
            <w:r>
              <w:rPr>
                <w:rFonts w:hint="eastAsia" w:ascii="宋体" w:hAnsi="宋体" w:eastAsia="宋体" w:cs="宋体"/>
                <w:b/>
                <w:bCs/>
                <w:color w:val="auto"/>
                <w:spacing w:val="6"/>
                <w:sz w:val="21"/>
                <w:szCs w:val="21"/>
                <w:lang w:eastAsia="zh-CN"/>
              </w:rPr>
              <w:t>（</w:t>
            </w:r>
            <w:r>
              <w:rPr>
                <w:rFonts w:hint="eastAsia" w:ascii="宋体" w:hAnsi="宋体" w:eastAsia="宋体" w:cs="宋体"/>
                <w:b/>
                <w:bCs/>
                <w:color w:val="auto"/>
                <w:spacing w:val="6"/>
                <w:sz w:val="21"/>
                <w:szCs w:val="21"/>
                <w:lang w:val="en-US" w:eastAsia="zh-CN"/>
              </w:rPr>
              <w:t>元</w:t>
            </w:r>
            <w:r>
              <w:rPr>
                <w:rFonts w:hint="eastAsia" w:ascii="宋体" w:hAnsi="宋体" w:eastAsia="宋体" w:cs="宋体"/>
                <w:b/>
                <w:bCs/>
                <w:color w:val="auto"/>
                <w:spacing w:val="6"/>
                <w:sz w:val="21"/>
                <w:szCs w:val="21"/>
                <w:lang w:eastAsia="zh-CN"/>
              </w:rPr>
              <w:t>）</w:t>
            </w:r>
          </w:p>
        </w:tc>
        <w:tc>
          <w:tcPr>
            <w:tcW w:w="1018" w:type="dxa"/>
            <w:tcBorders>
              <w:top w:val="single" w:color="auto" w:sz="4" w:space="0"/>
              <w:left w:val="nil"/>
              <w:bottom w:val="single" w:color="auto" w:sz="4" w:space="0"/>
              <w:right w:val="single" w:color="auto" w:sz="4" w:space="0"/>
            </w:tcBorders>
            <w:vAlign w:val="center"/>
          </w:tcPr>
          <w:p w14:paraId="5B7C049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备注</w:t>
            </w:r>
          </w:p>
        </w:tc>
      </w:tr>
      <w:tr w14:paraId="5DDC0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1D8FFFD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rPr>
              <w:t>1</w:t>
            </w:r>
          </w:p>
        </w:tc>
        <w:tc>
          <w:tcPr>
            <w:tcW w:w="1557" w:type="dxa"/>
            <w:tcBorders>
              <w:top w:val="single" w:color="auto" w:sz="4" w:space="0"/>
              <w:left w:val="nil"/>
              <w:bottom w:val="single" w:color="auto" w:sz="4" w:space="0"/>
              <w:right w:val="single" w:color="auto" w:sz="4" w:space="0"/>
            </w:tcBorders>
            <w:shd w:val="clear" w:color="auto" w:fill="auto"/>
            <w:vAlign w:val="center"/>
          </w:tcPr>
          <w:p w14:paraId="153E975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水</w:t>
            </w:r>
            <w:r>
              <w:rPr>
                <w:rFonts w:hint="eastAsia" w:ascii="宋体" w:hAnsi="宋体" w:eastAsia="宋体" w:cs="宋体"/>
                <w:color w:val="auto"/>
                <w:spacing w:val="6"/>
                <w:sz w:val="21"/>
                <w:szCs w:val="21"/>
                <w:lang w:val="en-US" w:eastAsia="zh-CN"/>
              </w:rPr>
              <w:t>电</w:t>
            </w:r>
            <w:r>
              <w:rPr>
                <w:rFonts w:hint="eastAsia" w:ascii="宋体" w:hAnsi="宋体" w:eastAsia="宋体" w:cs="宋体"/>
                <w:color w:val="auto"/>
                <w:spacing w:val="6"/>
                <w:sz w:val="21"/>
                <w:szCs w:val="21"/>
              </w:rPr>
              <w:t>能源计量节能监管系统软件</w:t>
            </w:r>
          </w:p>
        </w:tc>
        <w:tc>
          <w:tcPr>
            <w:tcW w:w="7677" w:type="dxa"/>
            <w:tcBorders>
              <w:top w:val="single" w:color="auto" w:sz="4" w:space="0"/>
              <w:left w:val="nil"/>
              <w:bottom w:val="single" w:color="auto" w:sz="4" w:space="0"/>
              <w:right w:val="single" w:color="auto" w:sz="4" w:space="0"/>
            </w:tcBorders>
            <w:shd w:val="clear" w:color="auto" w:fill="auto"/>
            <w:vAlign w:val="center"/>
          </w:tcPr>
          <w:p w14:paraId="01A24304">
            <w:pPr>
              <w:jc w:val="left"/>
              <w:rPr>
                <w:rFonts w:hint="eastAsia"/>
              </w:rPr>
            </w:pPr>
            <w:r>
              <w:rPr>
                <w:rFonts w:hint="eastAsia"/>
              </w:rPr>
              <w:t>1、软件采用 B/S 架构，前后端分离，完美支持二次开发，支持云端部署。</w:t>
            </w:r>
          </w:p>
          <w:p w14:paraId="2B6235A8">
            <w:pPr>
              <w:jc w:val="left"/>
              <w:rPr>
                <w:rFonts w:hint="eastAsia"/>
              </w:rPr>
            </w:pPr>
            <w:r>
              <w:rPr>
                <w:rFonts w:hint="eastAsia"/>
              </w:rPr>
              <w:t>2、物联网远程采集水、电、气、热分类能源资源数据，采集周期可设。</w:t>
            </w:r>
          </w:p>
          <w:p w14:paraId="22B3B9F7">
            <w:pPr>
              <w:jc w:val="left"/>
              <w:rPr>
                <w:rFonts w:hint="eastAsia"/>
              </w:rPr>
            </w:pPr>
            <w:r>
              <w:rPr>
                <w:rFonts w:hint="eastAsia"/>
              </w:rPr>
              <w:t>3、远程采集温度、湿度、空气质量及有害气体数据，实现环境在线监测。</w:t>
            </w:r>
          </w:p>
          <w:p w14:paraId="0AC7030F">
            <w:pPr>
              <w:jc w:val="left"/>
              <w:rPr>
                <w:rFonts w:hint="eastAsia"/>
              </w:rPr>
            </w:pPr>
            <w:r>
              <w:rPr>
                <w:rFonts w:hint="eastAsia"/>
              </w:rPr>
              <w:t>4、对能源数据进行分类、分项（空调、动力、照明插座、特殊用电）统计、实时数据监测、报表导出打印。</w:t>
            </w:r>
          </w:p>
          <w:p w14:paraId="2173B0CE">
            <w:pPr>
              <w:jc w:val="left"/>
              <w:rPr>
                <w:rFonts w:hint="eastAsia"/>
              </w:rPr>
            </w:pPr>
            <w:r>
              <w:rPr>
                <w:rFonts w:hint="eastAsia"/>
              </w:rPr>
              <w:t>5、设备状态监测，重点设备监测，通讯网络监测，导入控制策略，可实现设备节能模式运行。</w:t>
            </w:r>
          </w:p>
          <w:p w14:paraId="2A96EBF6">
            <w:pPr>
              <w:jc w:val="left"/>
              <w:rPr>
                <w:rFonts w:hint="eastAsia"/>
              </w:rPr>
            </w:pPr>
            <w:r>
              <w:t>6</w:t>
            </w:r>
            <w:r>
              <w:rPr>
                <w:rFonts w:hint="eastAsia"/>
              </w:rPr>
              <w:t>、AI 智能分析，数据模型建立，能耗趋势预测，阈值超标警示，运行故障报警，数据异常报警。</w:t>
            </w:r>
          </w:p>
          <w:p w14:paraId="0FB9CF5E">
            <w:pPr>
              <w:jc w:val="left"/>
              <w:rPr>
                <w:rFonts w:hint="eastAsia"/>
              </w:rPr>
            </w:pPr>
            <w:r>
              <w:rPr>
                <w:rFonts w:hint="eastAsia"/>
              </w:rPr>
              <w:t>7、单位面积能耗、单位产量能耗、标杆能耗设定。</w:t>
            </w:r>
          </w:p>
          <w:p w14:paraId="3AF1FE2B">
            <w:pPr>
              <w:jc w:val="left"/>
              <w:rPr>
                <w:rFonts w:hint="eastAsia"/>
              </w:rPr>
            </w:pPr>
            <w:r>
              <w:rPr>
                <w:rFonts w:hint="eastAsia"/>
              </w:rPr>
              <w:t>8、对数据进行同比环比、排名对比分析、综合能源审计。</w:t>
            </w:r>
          </w:p>
          <w:p w14:paraId="4B381CD3">
            <w:pPr>
              <w:jc w:val="left"/>
              <w:rPr>
                <w:rFonts w:hint="eastAsia"/>
              </w:rPr>
            </w:pPr>
            <w:r>
              <w:rPr>
                <w:rFonts w:hint="eastAsia"/>
              </w:rPr>
              <w:t>9、对能耗数据进行柱图、线图、饼图等各种形式对比显示、系统实时状态展示，实现数据可视化运行。</w:t>
            </w:r>
          </w:p>
          <w:p w14:paraId="10CF95B5">
            <w:pPr>
              <w:jc w:val="left"/>
              <w:rPr>
                <w:rFonts w:hint="eastAsia"/>
              </w:rPr>
            </w:pPr>
            <w:r>
              <w:rPr>
                <w:rFonts w:hint="eastAsia"/>
              </w:rPr>
              <w:t>9、数据存储、备份，支持远程异地备份。</w:t>
            </w:r>
          </w:p>
          <w:p w14:paraId="1F0CD34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pacing w:val="6"/>
                <w:sz w:val="21"/>
                <w:szCs w:val="21"/>
                <w:lang w:val="en-US" w:eastAsia="zh-CN"/>
              </w:rPr>
            </w:pPr>
            <w:r>
              <w:rPr>
                <w:rFonts w:hint="eastAsia"/>
              </w:rPr>
              <w:t>1</w:t>
            </w:r>
            <w:r>
              <w:t>0</w:t>
            </w:r>
            <w:r>
              <w:rPr>
                <w:rFonts w:hint="eastAsia"/>
              </w:rPr>
              <w:t>、标准第三方应用 API 接口、上传至省市级平台。</w:t>
            </w:r>
          </w:p>
        </w:tc>
        <w:tc>
          <w:tcPr>
            <w:tcW w:w="691" w:type="dxa"/>
            <w:tcBorders>
              <w:top w:val="single" w:color="auto" w:sz="4" w:space="0"/>
              <w:left w:val="nil"/>
              <w:bottom w:val="single" w:color="auto" w:sz="4" w:space="0"/>
              <w:right w:val="single" w:color="auto" w:sz="4" w:space="0"/>
            </w:tcBorders>
            <w:shd w:val="clear" w:color="auto" w:fill="auto"/>
            <w:vAlign w:val="center"/>
          </w:tcPr>
          <w:p w14:paraId="4658491D">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台</w:t>
            </w:r>
          </w:p>
        </w:tc>
        <w:tc>
          <w:tcPr>
            <w:tcW w:w="673" w:type="dxa"/>
            <w:tcBorders>
              <w:top w:val="single" w:color="auto" w:sz="4" w:space="0"/>
              <w:left w:val="nil"/>
              <w:bottom w:val="single" w:color="auto" w:sz="4" w:space="0"/>
              <w:right w:val="single" w:color="auto" w:sz="4" w:space="0"/>
            </w:tcBorders>
            <w:shd w:val="clear" w:color="auto" w:fill="auto"/>
            <w:vAlign w:val="center"/>
          </w:tcPr>
          <w:p w14:paraId="6965C9E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rPr>
              <w:t>1</w:t>
            </w:r>
          </w:p>
        </w:tc>
        <w:tc>
          <w:tcPr>
            <w:tcW w:w="881" w:type="dxa"/>
            <w:tcBorders>
              <w:top w:val="single" w:color="auto" w:sz="4" w:space="0"/>
              <w:left w:val="nil"/>
              <w:bottom w:val="single" w:color="auto" w:sz="4" w:space="0"/>
              <w:right w:val="single" w:color="auto" w:sz="4" w:space="0"/>
            </w:tcBorders>
            <w:shd w:val="clear" w:color="auto" w:fill="auto"/>
            <w:vAlign w:val="center"/>
          </w:tcPr>
          <w:p w14:paraId="6CB8E2DC">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p>
        </w:tc>
        <w:tc>
          <w:tcPr>
            <w:tcW w:w="828" w:type="dxa"/>
            <w:tcBorders>
              <w:top w:val="single" w:color="auto" w:sz="4" w:space="0"/>
              <w:left w:val="nil"/>
              <w:bottom w:val="single" w:color="auto" w:sz="4" w:space="0"/>
              <w:right w:val="single" w:color="auto" w:sz="4" w:space="0"/>
            </w:tcBorders>
            <w:shd w:val="clear" w:color="auto" w:fill="auto"/>
            <w:vAlign w:val="center"/>
          </w:tcPr>
          <w:p w14:paraId="70E77D7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p>
        </w:tc>
        <w:tc>
          <w:tcPr>
            <w:tcW w:w="1018" w:type="dxa"/>
            <w:tcBorders>
              <w:top w:val="single" w:color="auto" w:sz="4" w:space="0"/>
              <w:left w:val="nil"/>
              <w:bottom w:val="single" w:color="auto" w:sz="4" w:space="0"/>
              <w:right w:val="single" w:color="auto" w:sz="4" w:space="0"/>
            </w:tcBorders>
            <w:vAlign w:val="center"/>
          </w:tcPr>
          <w:p w14:paraId="53CE9CA7">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10FEA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32A7689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eastAsia="zh-CN"/>
              </w:rPr>
            </w:pPr>
            <w:r>
              <w:rPr>
                <w:rFonts w:hint="eastAsia" w:ascii="宋体" w:hAnsi="宋体" w:cs="宋体"/>
                <w:color w:val="auto"/>
                <w:spacing w:val="6"/>
                <w:sz w:val="21"/>
                <w:szCs w:val="21"/>
                <w:lang w:val="en-US" w:eastAsia="zh-CN"/>
              </w:rPr>
              <w:t>2</w:t>
            </w:r>
          </w:p>
        </w:tc>
        <w:tc>
          <w:tcPr>
            <w:tcW w:w="1557" w:type="dxa"/>
            <w:tcBorders>
              <w:top w:val="single" w:color="auto" w:sz="4" w:space="0"/>
              <w:left w:val="nil"/>
              <w:bottom w:val="single" w:color="auto" w:sz="4" w:space="0"/>
              <w:right w:val="single" w:color="auto" w:sz="4" w:space="0"/>
            </w:tcBorders>
            <w:vAlign w:val="center"/>
          </w:tcPr>
          <w:p w14:paraId="4FC1E5A7">
            <w:pPr>
              <w:pageBreakBefore w:val="0"/>
              <w:kinsoku/>
              <w:wordWrap/>
              <w:overflowPunct/>
              <w:topLinePunct w:val="0"/>
              <w:autoSpaceDE/>
              <w:autoSpaceDN/>
              <w:bidi w:val="0"/>
              <w:adjustRightInd w:val="0"/>
              <w:snapToGrid w:val="0"/>
              <w:spacing w:beforeAutospacing="0" w:afterAutospacing="0" w:line="240" w:lineRule="auto"/>
              <w:ind w:leftChars="-54" w:right="-107" w:rightChars="-51" w:hanging="113" w:hangingChars="51"/>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4G三相远程电能表</w:t>
            </w:r>
          </w:p>
        </w:tc>
        <w:tc>
          <w:tcPr>
            <w:tcW w:w="7677" w:type="dxa"/>
            <w:tcBorders>
              <w:top w:val="single" w:color="auto" w:sz="4" w:space="0"/>
              <w:left w:val="nil"/>
              <w:bottom w:val="single" w:color="auto" w:sz="4" w:space="0"/>
              <w:right w:val="single" w:color="auto" w:sz="4" w:space="0"/>
            </w:tcBorders>
            <w:vAlign w:val="center"/>
          </w:tcPr>
          <w:p w14:paraId="12FD818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1、型号规格： 3×220/380V  0.015-0.075(6)A、 0.05-0.25(60)A、0.1-0.5(100)A</w:t>
            </w:r>
          </w:p>
          <w:p w14:paraId="31F37D3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2、准确度等级/最大允许误差：有功C级</w:t>
            </w:r>
          </w:p>
          <w:p w14:paraId="1831ED6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3、电表符合DL/T 1485-2015《三相智能电能表技术规范》、DL/T 1489-2015《三相智能电能表型式规范》、DL/T 1490-2015《智能电能表功能规范》、GB/T 17215.321-2021《电测量设备(交流)特殊要求第21部分：静止式有功电能表(A 级、B级、C级、D级和E级)》，GB/T 17215.211-2021《电测量设备(交流)通用要求、试验和试验条件第11部分：测量 设备》，DL/T614-2007《多功能电能表》，《三相四线费控智能电能表测试大纲》</w:t>
            </w:r>
          </w:p>
          <w:p w14:paraId="320C548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4、电表在70℃的高温试验下，持续保持2h，电表能正常工作。</w:t>
            </w:r>
          </w:p>
          <w:p w14:paraId="48A48FA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5、电表在-40℃的低温试验下，持续保持2h，电表能正常工作。电表有功功耗≤0.25W，视在功耗≤1VA</w:t>
            </w:r>
          </w:p>
          <w:p w14:paraId="4F2FF71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6、电表在参比温度下，仪表内部时钟准确度应优于±0.5 s/24 h。</w:t>
            </w:r>
          </w:p>
          <w:p w14:paraId="53602E3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7、电表在仪表额定温度范围内，内部时钟准确度应优于±1 s/24 h。</w:t>
            </w:r>
          </w:p>
          <w:p w14:paraId="543D26F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8、电表安装尺寸为290mm±1mm(高)×170mm± 1mm(宽)×85mm±1mm(厚)</w:t>
            </w:r>
          </w:p>
          <w:p w14:paraId="75FDA73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9、电表可计量总及各费率的正向、反向、 组合有功的电量，有功组合方式可  设 置 ；</w:t>
            </w:r>
          </w:p>
          <w:p w14:paraId="0C00601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电表可计量总及各费率的四象限无功和  组合无功I/II的电量，组合无功方式 可设置 ；</w:t>
            </w:r>
          </w:p>
          <w:p w14:paraId="36A1AA0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电表可计量A、B、C三相的正反向有功 和四象限无功总电量；</w:t>
            </w:r>
          </w:p>
          <w:p w14:paraId="49A12DF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10、电表可存储当前及上12个结算日的电量  数据；数据转存时间默认为月初0时 (月末24时),用户可根据实际需求设置其它(1~28日)任意时刻。</w:t>
            </w:r>
          </w:p>
          <w:p w14:paraId="6D52836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11、电表实时测量A、B、C各相的电压、电流、相角、视在功率、有功功率、 无功功率、功率因數及电网频率，并且显示功率的方向。</w:t>
            </w:r>
          </w:p>
          <w:p w14:paraId="15BB9A97">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12、越限监测功能：可对各相电压、电 流等参数设置阀值进行监视，通过监测该量值是否超出或低于预先设 定的限值，以事件方式进行记录。</w:t>
            </w:r>
          </w:p>
          <w:p w14:paraId="2AA483A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13、电表可记录总及各费率正、反向有功、四象限无功、组合无功最大需量及其发生时间；</w:t>
            </w:r>
          </w:p>
          <w:p w14:paraId="1CFA048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14、电能表可支持四种费率(尖、峰、 平、谷)切换。电能具有两套时区表和两套日时段表方案，两套方案各自带有切换时间(年 月日时分),可通过预先设置切换时间实现两套费率方案的自动切换每套费率时段方案全年最大可设置14个时区，各个时区设置起始日期及使用的日时段表号。每天可以设置14个时段，各个时段设置起始时间及使用的费率。时段最小间隔为 15分钟(由上位机设置软件控制), 可跨越零点设置。</w:t>
            </w:r>
          </w:p>
          <w:p w14:paraId="676E684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15、 电能具有节假日和周休日特殊费率时段功能。最大可设置254个节假日费率数据。</w:t>
            </w:r>
          </w:p>
          <w:p w14:paraId="64C68DCF">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16、仪表具有RS-48S通信接口和红外通信接口，支持DL/T645规约，可进行参数设置、数据采集等功能。通信可设置。具有可热插拔通讯无线模块接口。通信信道物理层相互独立，任意一条通信信道的损坏不影响其它信道正常工作。</w:t>
            </w:r>
          </w:p>
          <w:p w14:paraId="51EB4F0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17、电能具有LCD液品显示屏，可分自动循显和按键显示两种方式。按键显示时LCD启动背光灯，停电后，显示自动关闭，可通过按键方式唤醒显示。</w:t>
            </w:r>
          </w:p>
        </w:tc>
        <w:tc>
          <w:tcPr>
            <w:tcW w:w="691" w:type="dxa"/>
            <w:tcBorders>
              <w:top w:val="single" w:color="auto" w:sz="4" w:space="0"/>
              <w:left w:val="nil"/>
              <w:bottom w:val="single" w:color="auto" w:sz="4" w:space="0"/>
              <w:right w:val="single" w:color="auto" w:sz="4" w:space="0"/>
            </w:tcBorders>
            <w:vAlign w:val="center"/>
          </w:tcPr>
          <w:p w14:paraId="20A6C19C">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只</w:t>
            </w:r>
          </w:p>
        </w:tc>
        <w:tc>
          <w:tcPr>
            <w:tcW w:w="673" w:type="dxa"/>
            <w:tcBorders>
              <w:top w:val="single" w:color="auto" w:sz="4" w:space="0"/>
              <w:left w:val="nil"/>
              <w:bottom w:val="single" w:color="auto" w:sz="4" w:space="0"/>
              <w:right w:val="single" w:color="auto" w:sz="4" w:space="0"/>
            </w:tcBorders>
            <w:vAlign w:val="center"/>
          </w:tcPr>
          <w:p w14:paraId="0581B3B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15</w:t>
            </w:r>
          </w:p>
        </w:tc>
        <w:tc>
          <w:tcPr>
            <w:tcW w:w="881" w:type="dxa"/>
            <w:tcBorders>
              <w:top w:val="single" w:color="auto" w:sz="4" w:space="0"/>
              <w:left w:val="nil"/>
              <w:bottom w:val="single" w:color="auto" w:sz="4" w:space="0"/>
              <w:right w:val="single" w:color="auto" w:sz="4" w:space="0"/>
            </w:tcBorders>
            <w:vAlign w:val="center"/>
          </w:tcPr>
          <w:p w14:paraId="0738A66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p>
        </w:tc>
        <w:tc>
          <w:tcPr>
            <w:tcW w:w="828" w:type="dxa"/>
            <w:tcBorders>
              <w:top w:val="single" w:color="auto" w:sz="4" w:space="0"/>
              <w:left w:val="nil"/>
              <w:bottom w:val="single" w:color="auto" w:sz="4" w:space="0"/>
              <w:right w:val="single" w:color="auto" w:sz="4" w:space="0"/>
            </w:tcBorders>
            <w:vAlign w:val="center"/>
          </w:tcPr>
          <w:p w14:paraId="6E386B6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p>
        </w:tc>
        <w:tc>
          <w:tcPr>
            <w:tcW w:w="1018" w:type="dxa"/>
            <w:tcBorders>
              <w:top w:val="single" w:color="auto" w:sz="4" w:space="0"/>
              <w:left w:val="nil"/>
              <w:bottom w:val="single" w:color="auto" w:sz="4" w:space="0"/>
              <w:right w:val="single" w:color="auto" w:sz="4" w:space="0"/>
            </w:tcBorders>
            <w:vAlign w:val="center"/>
          </w:tcPr>
          <w:p w14:paraId="32DC0A8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56E0D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64852FB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cs="宋体"/>
                <w:color w:val="auto"/>
                <w:spacing w:val="6"/>
                <w:sz w:val="21"/>
                <w:szCs w:val="21"/>
                <w:lang w:val="en-US" w:eastAsia="zh-CN"/>
              </w:rPr>
              <w:t>3</w:t>
            </w:r>
          </w:p>
        </w:tc>
        <w:tc>
          <w:tcPr>
            <w:tcW w:w="1557" w:type="dxa"/>
            <w:tcBorders>
              <w:top w:val="single" w:color="auto" w:sz="4" w:space="0"/>
              <w:left w:val="nil"/>
              <w:bottom w:val="single" w:color="auto" w:sz="4" w:space="0"/>
              <w:right w:val="single" w:color="auto" w:sz="4" w:space="0"/>
            </w:tcBorders>
            <w:vAlign w:val="center"/>
          </w:tcPr>
          <w:p w14:paraId="55A4B3B2">
            <w:pPr>
              <w:pageBreakBefore w:val="0"/>
              <w:kinsoku/>
              <w:wordWrap/>
              <w:overflowPunct/>
              <w:topLinePunct w:val="0"/>
              <w:autoSpaceDE/>
              <w:autoSpaceDN/>
              <w:bidi w:val="0"/>
              <w:adjustRightInd w:val="0"/>
              <w:snapToGrid w:val="0"/>
              <w:spacing w:beforeAutospacing="0" w:afterAutospacing="0" w:line="240" w:lineRule="auto"/>
              <w:ind w:leftChars="-54" w:right="-107" w:rightChars="-51" w:hanging="113" w:hangingChars="51"/>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4G</w:t>
            </w:r>
            <w:r>
              <w:rPr>
                <w:rFonts w:hint="eastAsia" w:ascii="宋体" w:hAnsi="宋体" w:eastAsia="宋体" w:cs="宋体"/>
                <w:color w:val="auto"/>
                <w:spacing w:val="6"/>
                <w:sz w:val="21"/>
                <w:szCs w:val="21"/>
                <w:lang w:val="en-US" w:eastAsia="zh-CN"/>
              </w:rPr>
              <w:t>单</w:t>
            </w:r>
            <w:r>
              <w:rPr>
                <w:rFonts w:hint="eastAsia" w:ascii="宋体" w:hAnsi="宋体" w:eastAsia="宋体" w:cs="宋体"/>
                <w:color w:val="auto"/>
                <w:spacing w:val="6"/>
                <w:sz w:val="21"/>
                <w:szCs w:val="21"/>
              </w:rPr>
              <w:t>相远程电能表</w:t>
            </w:r>
          </w:p>
        </w:tc>
        <w:tc>
          <w:tcPr>
            <w:tcW w:w="7677" w:type="dxa"/>
            <w:tcBorders>
              <w:top w:val="single" w:color="auto" w:sz="4" w:space="0"/>
              <w:left w:val="nil"/>
              <w:bottom w:val="single" w:color="auto" w:sz="4" w:space="0"/>
              <w:right w:val="single" w:color="auto" w:sz="4" w:space="0"/>
            </w:tcBorders>
            <w:vAlign w:val="center"/>
          </w:tcPr>
          <w:p w14:paraId="6D7344D8">
            <w:pPr>
              <w:pStyle w:val="10"/>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z w:val="21"/>
                <w:szCs w:val="21"/>
                <w:lang w:eastAsia="zh-CN"/>
              </w:rPr>
              <w:t>1、单相费控智能电能表符合</w:t>
            </w:r>
            <w:r>
              <w:rPr>
                <w:rFonts w:hint="eastAsia" w:ascii="宋体" w:hAnsi="宋体" w:eastAsia="宋体" w:cs="宋体"/>
                <w:color w:val="auto"/>
                <w:spacing w:val="-1"/>
                <w:sz w:val="21"/>
                <w:szCs w:val="21"/>
                <w:lang w:eastAsia="zh-CN"/>
              </w:rPr>
              <w:t>DL/T 614-2007《多功能电能表》GB/T 4208-2017《外壳防护等级(IP代码)》电能表外作参数：工作电压220V 50Hz;测量范围：0.1-0.5（60A）,</w:t>
            </w:r>
            <w:r>
              <w:rPr>
                <w:rFonts w:hint="eastAsia" w:ascii="宋体" w:hAnsi="宋体" w:eastAsia="宋体" w:cs="宋体"/>
                <w:color w:val="auto"/>
                <w:sz w:val="21"/>
                <w:szCs w:val="21"/>
                <w:lang w:eastAsia="zh-CN"/>
              </w:rPr>
              <w:t xml:space="preserve"> </w:t>
            </w:r>
            <w:r>
              <w:rPr>
                <w:rFonts w:hint="eastAsia" w:ascii="宋体" w:hAnsi="宋体" w:eastAsia="宋体" w:cs="宋体"/>
                <w:color w:val="auto"/>
                <w:spacing w:val="-1"/>
                <w:sz w:val="21"/>
                <w:szCs w:val="21"/>
                <w:lang w:eastAsia="zh-CN"/>
              </w:rPr>
              <w:t>脉冲常数1600imp/kwh，</w:t>
            </w:r>
          </w:p>
          <w:p w14:paraId="2B76C70B">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2、具有时钟功能：</w:t>
            </w:r>
          </w:p>
          <w:p w14:paraId="7C6ADFDF">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a)支持温度补偿；</w:t>
            </w:r>
          </w:p>
          <w:p w14:paraId="4F8D0FD3">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b)在-25℃~60℃温度范围内，时钟误差不超过士 1s/d;</w:t>
            </w:r>
          </w:p>
          <w:p w14:paraId="27AF6786">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c)在参比温度(23℃)时，时钟误差不超过0.5s/d;</w:t>
            </w:r>
          </w:p>
          <w:p w14:paraId="20892FBF">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d)在工作温度范围(-25℃~60℃)内，在正常供电条件下，时钟误差不超过±1s/d,极限温度 (-40℃~70℃);</w:t>
            </w:r>
          </w:p>
          <w:p w14:paraId="21C04367">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e)工作模式可分白天模式和夜间模式；</w:t>
            </w:r>
          </w:p>
          <w:p w14:paraId="2C7035D5">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3、电能表具有定时通断电功能，可对各分路设置通、断电时 间，并进行控制，该功能可设定为启用、关闭两种 状态，系统可成批地对全部或部分电表进行设置， 也可单独地对个别电表进行设置；定时通过内置继 电器控制电器；</w:t>
            </w:r>
          </w:p>
          <w:p w14:paraId="392C41E0">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4、电能表数据保持功能，当电流断电、恢复供电时， 可保持数据不丢失，正常工作，标称数据存储 15年以上且产品使用寿命大于15年；</w:t>
            </w:r>
          </w:p>
          <w:p w14:paraId="1A6DE482">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5、电能表通信功能：</w:t>
            </w:r>
          </w:p>
          <w:p w14:paraId="4B5DAB74">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a)支持RS485有线通信和红外通信接口或无线 通信接口(NB-IoT/4G等)与上位机相连；</w:t>
            </w:r>
          </w:p>
          <w:p w14:paraId="6E09AA83">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b)支持DL/T645-2007、Q/GDG1376.1-2013、MODBUS 等通信协议，并能采集电表数据和下发指令参数。波特率为(1200、2400、4800、9600、 19200)bit/s (可选)。出厂默认波特率为   9600bit/s;</w:t>
            </w:r>
          </w:p>
          <w:p w14:paraId="1B64D41D">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c)具有可热插拔通信无线模块接口。通信信道物 理层相互独立，任意一条信道的损坏不影响其它 信道正常工作。可根据现场情况灵活组网，能够 远程通信</w:t>
            </w:r>
          </w:p>
          <w:p w14:paraId="3EDCE2CB">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6、电能表具有监测读取电表电流、电压、功率因数、有功 电能、无功电能、温度及费率等参数功能；可监 测读取电表运行温度、进行漏电电流等参数并可 设定相应管理参数，能实时上传房间用能数据， 用于反馈房间电器的实际运行状况；</w:t>
            </w:r>
          </w:p>
          <w:p w14:paraId="0D09915B">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7、电能表具有远程控制功能，仪表支持RS-48S通信接口和 红外通信接口或无线通信接口(NB-IoT/4G等)与上位机相连，可通过后台软件或手机微信端等  管理工具进行管控，实现智能电表的远程拉合闸， 进行定时断电、过载跳电等策略控制；</w:t>
            </w:r>
          </w:p>
          <w:p w14:paraId="2F894318">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8、表红外/蓝牙通信接口，可实现对电表继电器的  拉闸和合闸，实现电表脱网时的强制关电和开电； 可抄读电量并上传至后台；</w:t>
            </w:r>
          </w:p>
          <w:p w14:paraId="1EC45245">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9、电能表具有防限电插座识别功能，通过上位机软件可配置 防限电插座(相位可调式插座)识别参数，当电路加上防限电插座后，也能实现恶性负载识别；</w:t>
            </w:r>
          </w:p>
          <w:p w14:paraId="43053916">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10、电能表具有空调识别功能，空调回路用电支持空调专用功 能，只允许空调使用，通过上位机软件设置空调识 别，读取验证设置成功后，打开空调可正常使用， 拔下空调插入其它负载立即跳电拉闸断电，实现安 全用电管理；</w:t>
            </w:r>
          </w:p>
          <w:p w14:paraId="67CE474B">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11、电能表具有温度监测功能：</w:t>
            </w:r>
          </w:p>
          <w:p w14:paraId="5FEDEE53">
            <w:pPr>
              <w:pageBreakBefore w:val="0"/>
              <w:kinsoku/>
              <w:wordWrap/>
              <w:overflowPunct/>
              <w:topLinePunct w:val="0"/>
              <w:autoSpaceDE/>
              <w:autoSpaceDN/>
              <w:bidi w:val="0"/>
              <w:adjustRightInd w:val="0"/>
              <w:snapToGrid w:val="0"/>
              <w:spacing w:beforeAutospacing="0" w:afterAutospacing="0" w:line="240" w:lineRule="auto"/>
              <w:ind w:firstLine="208" w:firstLineChars="100"/>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a)通过上位机软件可设置、读取电表温度参数；</w:t>
            </w:r>
          </w:p>
          <w:p w14:paraId="27254F08">
            <w:pPr>
              <w:pageBreakBefore w:val="0"/>
              <w:kinsoku/>
              <w:wordWrap/>
              <w:overflowPunct/>
              <w:topLinePunct w:val="0"/>
              <w:autoSpaceDE/>
              <w:autoSpaceDN/>
              <w:bidi w:val="0"/>
              <w:adjustRightInd w:val="0"/>
              <w:snapToGrid w:val="0"/>
              <w:spacing w:beforeAutospacing="0" w:afterAutospacing="0" w:line="240" w:lineRule="auto"/>
              <w:ind w:firstLine="208" w:firstLineChars="100"/>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b)可设定电表过温限值、安全温度值；</w:t>
            </w:r>
          </w:p>
          <w:p w14:paraId="32D55C69">
            <w:pPr>
              <w:pageBreakBefore w:val="0"/>
              <w:kinsoku/>
              <w:wordWrap/>
              <w:overflowPunct/>
              <w:topLinePunct w:val="0"/>
              <w:autoSpaceDE/>
              <w:autoSpaceDN/>
              <w:bidi w:val="0"/>
              <w:adjustRightInd w:val="0"/>
              <w:snapToGrid w:val="0"/>
              <w:spacing w:beforeAutospacing="0" w:afterAutospacing="0" w:line="240" w:lineRule="auto"/>
              <w:ind w:firstLine="208" w:firstLineChars="100"/>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c)当检测温度超过60℃自动报警，超过70℃切 断电源，防止电气安全隐患；</w:t>
            </w:r>
          </w:p>
          <w:p w14:paraId="15C7D288">
            <w:pPr>
              <w:pageBreakBefore w:val="0"/>
              <w:kinsoku/>
              <w:wordWrap/>
              <w:overflowPunct/>
              <w:topLinePunct w:val="0"/>
              <w:autoSpaceDE/>
              <w:autoSpaceDN/>
              <w:bidi w:val="0"/>
              <w:adjustRightInd w:val="0"/>
              <w:snapToGrid w:val="0"/>
              <w:spacing w:beforeAutospacing="0" w:afterAutospacing="0" w:line="240" w:lineRule="auto"/>
              <w:ind w:firstLine="208" w:firstLineChars="100"/>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d)当温度恢复到30℃时电表自动合闸恢复供电(温 度可自动设置)</w:t>
            </w:r>
          </w:p>
          <w:p w14:paraId="728AEAA5">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12、电能表具有计量正反向有功电能的功能：</w:t>
            </w:r>
          </w:p>
          <w:p w14:paraId="1DC34375">
            <w:pPr>
              <w:pageBreakBefore w:val="0"/>
              <w:kinsoku/>
              <w:wordWrap/>
              <w:overflowPunct/>
              <w:topLinePunct w:val="0"/>
              <w:autoSpaceDE/>
              <w:autoSpaceDN/>
              <w:bidi w:val="0"/>
              <w:adjustRightInd w:val="0"/>
              <w:snapToGrid w:val="0"/>
              <w:spacing w:beforeAutospacing="0" w:afterAutospacing="0" w:line="240" w:lineRule="auto"/>
              <w:ind w:firstLine="208" w:firstLineChars="100"/>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a)有功组合方式特征字可设；</w:t>
            </w:r>
          </w:p>
          <w:p w14:paraId="793DDAE0">
            <w:pPr>
              <w:pageBreakBefore w:val="0"/>
              <w:kinsoku/>
              <w:wordWrap/>
              <w:overflowPunct/>
              <w:topLinePunct w:val="0"/>
              <w:autoSpaceDE/>
              <w:autoSpaceDN/>
              <w:bidi w:val="0"/>
              <w:adjustRightInd w:val="0"/>
              <w:snapToGrid w:val="0"/>
              <w:spacing w:beforeAutospacing="0" w:afterAutospacing="0" w:line="240" w:lineRule="auto"/>
              <w:ind w:firstLine="208" w:firstLineChars="100"/>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b)可存储当前及上12个结算日的电量数据；</w:t>
            </w:r>
          </w:p>
          <w:p w14:paraId="1C2BBB36">
            <w:pPr>
              <w:pageBreakBefore w:val="0"/>
              <w:kinsoku/>
              <w:wordWrap/>
              <w:overflowPunct/>
              <w:topLinePunct w:val="0"/>
              <w:autoSpaceDE/>
              <w:autoSpaceDN/>
              <w:bidi w:val="0"/>
              <w:adjustRightInd w:val="0"/>
              <w:snapToGrid w:val="0"/>
              <w:spacing w:beforeAutospacing="0" w:afterAutospacing="0" w:line="240" w:lineRule="auto"/>
              <w:ind w:firstLine="208" w:firstLineChars="100"/>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c)可存储12个月的用电数据；</w:t>
            </w:r>
          </w:p>
          <w:p w14:paraId="71543D7B">
            <w:pPr>
              <w:pageBreakBefore w:val="0"/>
              <w:kinsoku/>
              <w:wordWrap/>
              <w:overflowPunct/>
              <w:topLinePunct w:val="0"/>
              <w:autoSpaceDE/>
              <w:autoSpaceDN/>
              <w:bidi w:val="0"/>
              <w:adjustRightInd w:val="0"/>
              <w:snapToGrid w:val="0"/>
              <w:spacing w:beforeAutospacing="0" w:afterAutospacing="0" w:line="240" w:lineRule="auto"/>
              <w:ind w:firstLine="208" w:firstLineChars="100"/>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d)数据转存时间默认为月初0时，用户可根据 实际需求设置其它(1～28)日任意时刻；</w:t>
            </w:r>
          </w:p>
          <w:p w14:paraId="553D54A1">
            <w:pPr>
              <w:pageBreakBefore w:val="0"/>
              <w:kinsoku/>
              <w:wordWrap/>
              <w:overflowPunct/>
              <w:topLinePunct w:val="0"/>
              <w:autoSpaceDE/>
              <w:autoSpaceDN/>
              <w:bidi w:val="0"/>
              <w:adjustRightInd w:val="0"/>
              <w:snapToGrid w:val="0"/>
              <w:spacing w:beforeAutospacing="0" w:afterAutospacing="0" w:line="240" w:lineRule="auto"/>
              <w:ind w:firstLine="208" w:firstLineChars="100"/>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e)可对于正、反向，组合有功电量，电能有效 值范围(-999999.99～999999.99)kWh</w:t>
            </w:r>
          </w:p>
          <w:p w14:paraId="186A447F">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13、电能表支持时段控制继电器拉合闸，支持14个时间窗  口，可实现在规定的时间段内跳闸及自动合闸。 可通过设值相关参数，设定灵活的定时开关方案；</w:t>
            </w:r>
          </w:p>
          <w:p w14:paraId="1066C2FA">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14、具有自动识别恶性负载功能：</w:t>
            </w:r>
          </w:p>
          <w:p w14:paraId="1521F476">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a)当新增电器的功率大于设定的功功率时，电 表应自动跳闸，并记录恶性负载跳闸事件；</w:t>
            </w:r>
          </w:p>
          <w:p w14:paraId="552397DA">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b)仪表检测到恶性负载时，自动切断用户电源，等待一段时间后(此时间可设置)自动恢复用户   供电，若恶性负载仍接入，则继续切断用户电源；</w:t>
            </w:r>
          </w:p>
          <w:p w14:paraId="7289E1C7">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系统可以自动恢复供电三次(支持设置),如三  次还在使用恶性负载，则切断用户供电，必须通过预付费管理系统恢复供电，用户才可继续用 电 ；</w:t>
            </w:r>
          </w:p>
          <w:p w14:paraId="2BD81448">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c)可设置至少五种发热电器的使用权限：将该  发热电器的参数写入电表，该发热电器使用时， 可选择不作为恶性负载判断，仪表不应跳闸；</w:t>
            </w:r>
          </w:p>
          <w:p w14:paraId="0EF6C583">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d)通过操作上位机软件设置恶性负载参数区间   并发送给电表后，可读到该设定的参数值，能识  别电炉、热得快等大功率阻性负载，并自动跳闸， 限制这类负载的使用；</w:t>
            </w:r>
          </w:p>
          <w:p w14:paraId="0503482D">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e)可保存最近5次恶性负载事件记录；</w:t>
            </w:r>
          </w:p>
          <w:p w14:paraId="0494219A">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15、电能表具有冻结功能：</w:t>
            </w:r>
          </w:p>
          <w:p w14:paraId="5A1DB358">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a)可对装置的电能和计费数据进行冻结并记录 冻结数据和冻结时间。冻结功能相关参数可设 置 ；</w:t>
            </w:r>
          </w:p>
          <w:p w14:paraId="6ECC932A">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b)支持日冻结，可存储每天零点时刻的电能量， 可存储不少干62天的日冻结数据；</w:t>
            </w:r>
          </w:p>
          <w:p w14:paraId="7824C922">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c)支持整点冻结，可存储整点时刻的电能量；</w:t>
            </w:r>
          </w:p>
          <w:p w14:paraId="3872CD94">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d)可存储不少于254次整点冻结数据； e)两套费率电价切换时冻结相关数据；</w:t>
            </w:r>
          </w:p>
          <w:p w14:paraId="50360A60">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16、电能表具有预付费模块和后付费模式，两种模式 可以根据管理需要随时转换：</w:t>
            </w:r>
          </w:p>
          <w:p w14:paraId="175CAC1B">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a)在预付费模式时，同时具有远程预付  费和本地预付费功能(可转换),用户应先  充值后用电，当余额小于0度时，自动断  电；电表可按照设定的时间点自动断电。 用户充值累计正余额后电表会自动合闸 供 电 ；</w:t>
            </w:r>
          </w:p>
          <w:p w14:paraId="1E1FA9F3">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b)在后付费模式时，用户在一定周期内  可先用电，再根据实际用电量进行结算。 用户无需提前支付，但在结算周期结束  时，需要支付相应的电费；</w:t>
            </w:r>
          </w:p>
          <w:p w14:paraId="50F934FE">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17、电能表具有脱机控制功能：</w:t>
            </w:r>
          </w:p>
          <w:p w14:paraId="0E30FA16">
            <w:pPr>
              <w:pageBreakBefore w:val="0"/>
              <w:kinsoku/>
              <w:wordWrap/>
              <w:overflowPunct/>
              <w:topLinePunct w:val="0"/>
              <w:autoSpaceDE/>
              <w:autoSpaceDN/>
              <w:bidi w:val="0"/>
              <w:adjustRightInd w:val="0"/>
              <w:snapToGrid w:val="0"/>
              <w:spacing w:beforeAutospacing="0" w:afterAutospacing="0" w:line="240" w:lineRule="auto"/>
              <w:ind w:firstLine="208" w:firstLineChars="100"/>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a)当电表可用电量为0时，电表自动切 断分路电源，实现欠费停电；</w:t>
            </w:r>
          </w:p>
          <w:p w14:paraId="087246C2">
            <w:pPr>
              <w:pageBreakBefore w:val="0"/>
              <w:kinsoku/>
              <w:wordWrap/>
              <w:overflowPunct/>
              <w:topLinePunct w:val="0"/>
              <w:autoSpaceDE/>
              <w:autoSpaceDN/>
              <w:bidi w:val="0"/>
              <w:adjustRightInd w:val="0"/>
              <w:snapToGrid w:val="0"/>
              <w:spacing w:beforeAutospacing="0" w:afterAutospacing="0" w:line="240" w:lineRule="auto"/>
              <w:ind w:firstLine="208" w:firstLineChars="100"/>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b)设定可用额度允许透支，则可用电量  为0时，电表不断电；设定低限报警阈值 后，在账户余额达到阈值时刻收到短信告 警 ；</w:t>
            </w:r>
          </w:p>
          <w:p w14:paraId="59D78634">
            <w:pPr>
              <w:pageBreakBefore w:val="0"/>
              <w:kinsoku/>
              <w:wordWrap/>
              <w:overflowPunct/>
              <w:topLinePunct w:val="0"/>
              <w:autoSpaceDE/>
              <w:autoSpaceDN/>
              <w:bidi w:val="0"/>
              <w:adjustRightInd w:val="0"/>
              <w:snapToGrid w:val="0"/>
              <w:spacing w:beforeAutospacing="0" w:afterAutospacing="0" w:line="240" w:lineRule="auto"/>
              <w:ind w:firstLine="208" w:firstLineChars="100"/>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c)与后台通信断网后电表仍能实现前期  后台下发的控制命令，如过载拉闸断电、 恶性负载跳电、分时限流、过温拉闸断电、 漏电流跳闸等安全识别控制</w:t>
            </w:r>
          </w:p>
          <w:p w14:paraId="481856C9">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18、电能表在参比温度和额定电压以及通信状态情况下 (电压线路)，有功功率≤0.4W，视在功率消耗 ≤0.5VA，电流线路分路视在功耗≤0.5VA，</w:t>
            </w:r>
          </w:p>
          <w:p w14:paraId="1FA6B3F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51CDE54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rPr>
              <w:t>只</w:t>
            </w:r>
          </w:p>
        </w:tc>
        <w:tc>
          <w:tcPr>
            <w:tcW w:w="673" w:type="dxa"/>
            <w:tcBorders>
              <w:top w:val="single" w:color="auto" w:sz="4" w:space="0"/>
              <w:left w:val="nil"/>
              <w:bottom w:val="single" w:color="auto" w:sz="4" w:space="0"/>
              <w:right w:val="single" w:color="auto" w:sz="4" w:space="0"/>
            </w:tcBorders>
            <w:vAlign w:val="center"/>
          </w:tcPr>
          <w:p w14:paraId="1F930C0D">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40</w:t>
            </w:r>
          </w:p>
        </w:tc>
        <w:tc>
          <w:tcPr>
            <w:tcW w:w="881" w:type="dxa"/>
            <w:tcBorders>
              <w:top w:val="single" w:color="auto" w:sz="4" w:space="0"/>
              <w:left w:val="nil"/>
              <w:bottom w:val="single" w:color="auto" w:sz="4" w:space="0"/>
              <w:right w:val="single" w:color="auto" w:sz="4" w:space="0"/>
            </w:tcBorders>
            <w:vAlign w:val="center"/>
          </w:tcPr>
          <w:p w14:paraId="411260B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p>
        </w:tc>
        <w:tc>
          <w:tcPr>
            <w:tcW w:w="828" w:type="dxa"/>
            <w:tcBorders>
              <w:top w:val="single" w:color="auto" w:sz="4" w:space="0"/>
              <w:left w:val="nil"/>
              <w:bottom w:val="single" w:color="auto" w:sz="4" w:space="0"/>
              <w:right w:val="single" w:color="auto" w:sz="4" w:space="0"/>
            </w:tcBorders>
            <w:vAlign w:val="center"/>
          </w:tcPr>
          <w:p w14:paraId="756CD50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p>
        </w:tc>
        <w:tc>
          <w:tcPr>
            <w:tcW w:w="1018" w:type="dxa"/>
            <w:tcBorders>
              <w:top w:val="single" w:color="auto" w:sz="4" w:space="0"/>
              <w:left w:val="nil"/>
              <w:bottom w:val="single" w:color="auto" w:sz="4" w:space="0"/>
              <w:right w:val="single" w:color="auto" w:sz="4" w:space="0"/>
            </w:tcBorders>
            <w:vAlign w:val="center"/>
          </w:tcPr>
          <w:p w14:paraId="4D74D0D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3899D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468DFF47">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4</w:t>
            </w:r>
          </w:p>
        </w:tc>
        <w:tc>
          <w:tcPr>
            <w:tcW w:w="1557" w:type="dxa"/>
            <w:tcBorders>
              <w:top w:val="single" w:color="auto" w:sz="4" w:space="0"/>
              <w:left w:val="nil"/>
              <w:bottom w:val="single" w:color="auto" w:sz="4" w:space="0"/>
              <w:right w:val="single" w:color="auto" w:sz="4" w:space="0"/>
            </w:tcBorders>
            <w:vAlign w:val="center"/>
          </w:tcPr>
          <w:p w14:paraId="6DD33BB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4G远传水表（DN15）</w:t>
            </w:r>
          </w:p>
        </w:tc>
        <w:tc>
          <w:tcPr>
            <w:tcW w:w="7677" w:type="dxa"/>
            <w:vMerge w:val="restart"/>
            <w:tcBorders>
              <w:top w:val="nil"/>
              <w:left w:val="nil"/>
              <w:right w:val="single" w:color="auto" w:sz="4" w:space="0"/>
            </w:tcBorders>
            <w:vAlign w:val="center"/>
          </w:tcPr>
          <w:p w14:paraId="1FAD7C3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eastAsia="宋体" w:cs="Times New Roman"/>
                <w:color w:val="auto"/>
              </w:rPr>
            </w:pPr>
            <w:r>
              <w:rPr>
                <w:rFonts w:hint="eastAsia"/>
                <w:color w:val="auto"/>
              </w:rPr>
              <w:t>1</w:t>
            </w:r>
            <w:r>
              <w:rPr>
                <w:rFonts w:hint="eastAsia" w:ascii="宋体" w:hAnsi="宋体" w:cs="Times New Roman"/>
                <w:color w:val="auto"/>
              </w:rPr>
              <w:t>、准确度等级：</w:t>
            </w:r>
            <w:r>
              <w:rPr>
                <w:rFonts w:hint="eastAsia"/>
                <w:color w:val="auto"/>
              </w:rPr>
              <w:t>2</w:t>
            </w:r>
            <w:r>
              <w:rPr>
                <w:rFonts w:hint="eastAsia" w:ascii="宋体" w:hAnsi="宋体" w:cs="Times New Roman"/>
                <w:color w:val="auto"/>
              </w:rPr>
              <w:t>级及以上；</w:t>
            </w:r>
          </w:p>
          <w:p w14:paraId="4977FF4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w:t>
            </w:r>
            <w:r>
              <w:rPr>
                <w:rFonts w:hint="eastAsia" w:ascii="宋体" w:hAnsi="宋体" w:cs="Times New Roman"/>
                <w:color w:val="auto"/>
              </w:rPr>
              <w:t>、压力等级：≥</w:t>
            </w:r>
            <w:r>
              <w:rPr>
                <w:rFonts w:hint="eastAsia"/>
                <w:color w:val="auto"/>
              </w:rPr>
              <w:t>MAP10</w:t>
            </w:r>
            <w:r>
              <w:rPr>
                <w:rFonts w:hint="eastAsia" w:ascii="宋体" w:hAnsi="宋体" w:cs="Times New Roman"/>
                <w:color w:val="auto"/>
              </w:rPr>
              <w:t>；</w:t>
            </w:r>
          </w:p>
          <w:p w14:paraId="4F62F47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3</w:t>
            </w:r>
            <w:r>
              <w:rPr>
                <w:rFonts w:hint="eastAsia" w:ascii="宋体" w:hAnsi="宋体" w:cs="Times New Roman"/>
                <w:color w:val="auto"/>
              </w:rPr>
              <w:t>、量程比：≥</w:t>
            </w:r>
            <w:r>
              <w:rPr>
                <w:rFonts w:hint="eastAsia"/>
                <w:color w:val="auto"/>
              </w:rPr>
              <w:t>R100</w:t>
            </w:r>
            <w:r>
              <w:rPr>
                <w:rFonts w:hint="eastAsia" w:ascii="宋体" w:hAnsi="宋体" w:cs="Times New Roman"/>
                <w:color w:val="auto"/>
              </w:rPr>
              <w:t>；</w:t>
            </w:r>
          </w:p>
          <w:p w14:paraId="3BB6B66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eastAsia="宋体" w:cs="Times New Roman"/>
                <w:color w:val="auto"/>
                <w:lang w:eastAsia="zh-CN"/>
              </w:rPr>
            </w:pPr>
            <w:r>
              <w:rPr>
                <w:rFonts w:hint="eastAsia"/>
                <w:color w:val="auto"/>
              </w:rPr>
              <w:t>4</w:t>
            </w:r>
            <w:r>
              <w:rPr>
                <w:rFonts w:hint="eastAsia" w:ascii="宋体" w:hAnsi="宋体" w:cs="Times New Roman"/>
                <w:color w:val="auto"/>
              </w:rPr>
              <w:t>、</w:t>
            </w:r>
            <w:r>
              <w:rPr>
                <w:rFonts w:hint="eastAsia" w:cs="Times New Roman"/>
                <w:color w:val="auto"/>
                <w:lang w:val="en-US" w:eastAsia="zh-CN"/>
              </w:rPr>
              <w:t>表本体材质</w:t>
            </w:r>
            <w:r>
              <w:rPr>
                <w:rFonts w:hint="eastAsia" w:ascii="宋体" w:hAnsi="宋体" w:cs="Times New Roman"/>
                <w:color w:val="auto"/>
              </w:rPr>
              <w:t>：</w:t>
            </w:r>
            <w:r>
              <w:rPr>
                <w:rFonts w:hint="eastAsia" w:cs="Times New Roman"/>
                <w:color w:val="auto"/>
                <w:lang w:val="en-US" w:eastAsia="zh-CN"/>
              </w:rPr>
              <w:t>DN15-25为</w:t>
            </w:r>
            <w:r>
              <w:rPr>
                <w:rFonts w:hint="eastAsia" w:ascii="宋体" w:hAnsi="宋体" w:cs="Times New Roman"/>
                <w:color w:val="auto"/>
              </w:rPr>
              <w:t>铜</w:t>
            </w:r>
            <w:r>
              <w:rPr>
                <w:rFonts w:hint="eastAsia" w:cs="Times New Roman"/>
                <w:color w:val="auto"/>
                <w:lang w:val="en-US" w:eastAsia="zh-CN"/>
              </w:rPr>
              <w:t>壳</w:t>
            </w:r>
            <w:r>
              <w:rPr>
                <w:rFonts w:hint="eastAsia" w:ascii="宋体" w:hAnsi="宋体" w:cs="Times New Roman"/>
                <w:color w:val="auto"/>
                <w:lang w:eastAsia="zh-CN"/>
              </w:rPr>
              <w:t>，</w:t>
            </w:r>
            <w:r>
              <w:rPr>
                <w:rFonts w:hint="eastAsia" w:ascii="Calibri" w:hAnsi="Calibri" w:eastAsia="宋体" w:cs="Times New Roman"/>
                <w:color w:val="auto"/>
                <w:szCs w:val="21"/>
              </w:rPr>
              <w:t>DN</w:t>
            </w:r>
            <w:r>
              <w:rPr>
                <w:rFonts w:hint="eastAsia" w:ascii="Calibri" w:hAnsi="Calibri" w:eastAsia="宋体" w:cs="Times New Roman"/>
                <w:color w:val="auto"/>
                <w:szCs w:val="21"/>
                <w:lang w:val="en-US" w:eastAsia="zh-CN"/>
              </w:rPr>
              <w:t>32</w:t>
            </w:r>
            <w:r>
              <w:rPr>
                <w:rFonts w:hint="eastAsia" w:ascii="Calibri" w:hAnsi="Calibri" w:eastAsia="宋体" w:cs="Times New Roman"/>
                <w:color w:val="auto"/>
                <w:szCs w:val="21"/>
              </w:rPr>
              <w:t>-</w:t>
            </w:r>
            <w:r>
              <w:rPr>
                <w:rFonts w:hint="eastAsia"/>
                <w:color w:val="auto"/>
              </w:rPr>
              <w:t>150</w:t>
            </w:r>
            <w:r>
              <w:rPr>
                <w:rFonts w:hint="eastAsia" w:ascii="Calibri" w:hAnsi="Calibri" w:eastAsia="宋体" w:cs="Times New Roman"/>
                <w:color w:val="auto"/>
                <w:szCs w:val="21"/>
                <w:lang w:val="en-US" w:eastAsia="zh-CN"/>
              </w:rPr>
              <w:t>为球墨铸铁</w:t>
            </w:r>
          </w:p>
          <w:p w14:paraId="60D9695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5</w:t>
            </w:r>
            <w:r>
              <w:rPr>
                <w:rFonts w:hint="eastAsia" w:ascii="宋体" w:hAnsi="宋体" w:cs="Times New Roman"/>
                <w:color w:val="auto"/>
              </w:rPr>
              <w:t>、机芯类型：湿式机芯；</w:t>
            </w:r>
          </w:p>
          <w:p w14:paraId="21676185">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6</w:t>
            </w:r>
            <w:r>
              <w:rPr>
                <w:rFonts w:hint="eastAsia" w:ascii="宋体" w:hAnsi="宋体" w:cs="Times New Roman"/>
                <w:color w:val="auto"/>
              </w:rPr>
              <w:t>、传感器类型：磁阻</w:t>
            </w:r>
            <w:r>
              <w:rPr>
                <w:rFonts w:hint="eastAsia"/>
                <w:color w:val="auto"/>
              </w:rPr>
              <w:t>/</w:t>
            </w:r>
            <w:r>
              <w:rPr>
                <w:rFonts w:hint="eastAsia" w:ascii="宋体" w:hAnsi="宋体" w:cs="Times New Roman"/>
                <w:color w:val="auto"/>
              </w:rPr>
              <w:t>无磁；</w:t>
            </w:r>
          </w:p>
          <w:p w14:paraId="51872A8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7</w:t>
            </w:r>
            <w:r>
              <w:rPr>
                <w:rFonts w:hint="eastAsia" w:ascii="宋体" w:hAnsi="宋体" w:cs="Times New Roman"/>
                <w:color w:val="auto"/>
              </w:rPr>
              <w:t>、电子采样分辨率：≥</w:t>
            </w:r>
            <w:r>
              <w:rPr>
                <w:rFonts w:hint="eastAsia"/>
                <w:color w:val="auto"/>
              </w:rPr>
              <w:t>0.001m</w:t>
            </w:r>
            <w:r>
              <w:rPr>
                <w:rFonts w:hint="eastAsia" w:ascii="宋体" w:hAnsi="宋体" w:cs="Times New Roman"/>
                <w:color w:val="auto"/>
              </w:rPr>
              <w:t>³；</w:t>
            </w:r>
          </w:p>
          <w:p w14:paraId="4BE0B63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8</w:t>
            </w:r>
            <w:r>
              <w:rPr>
                <w:rFonts w:hint="eastAsia" w:ascii="宋体" w:hAnsi="宋体" w:cs="Times New Roman"/>
                <w:color w:val="auto"/>
              </w:rPr>
              <w:t>、温度等级为</w:t>
            </w:r>
            <w:r>
              <w:rPr>
                <w:rFonts w:hint="eastAsia"/>
                <w:color w:val="auto"/>
              </w:rPr>
              <w:t>T30</w:t>
            </w:r>
            <w:r>
              <w:rPr>
                <w:rFonts w:hint="eastAsia" w:ascii="宋体" w:hAnsi="宋体" w:cs="Times New Roman"/>
                <w:color w:val="auto"/>
              </w:rPr>
              <w:t>，水表防冻性能强</w:t>
            </w:r>
          </w:p>
          <w:p w14:paraId="4C260645">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9</w:t>
            </w:r>
            <w:r>
              <w:rPr>
                <w:rFonts w:hint="eastAsia" w:ascii="宋体" w:hAnsi="宋体" w:cs="Times New Roman"/>
                <w:color w:val="auto"/>
              </w:rPr>
              <w:t>、压力损失等级</w:t>
            </w:r>
            <w:r>
              <w:rPr>
                <w:rFonts w:hint="eastAsia"/>
                <w:color w:val="auto"/>
              </w:rPr>
              <w:t>:</w:t>
            </w:r>
            <w:r>
              <w:rPr>
                <w:rFonts w:hint="eastAsia" w:ascii="宋体" w:hAnsi="宋体" w:cs="Times New Roman"/>
                <w:color w:val="auto"/>
              </w:rPr>
              <w:t>△</w:t>
            </w:r>
            <w:r>
              <w:rPr>
                <w:rFonts w:hint="eastAsia"/>
                <w:color w:val="auto"/>
              </w:rPr>
              <w:t>p63</w:t>
            </w:r>
          </w:p>
          <w:p w14:paraId="3C9A2B4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10</w:t>
            </w:r>
            <w:r>
              <w:rPr>
                <w:rFonts w:hint="eastAsia" w:ascii="宋体" w:hAnsi="宋体" w:cs="Times New Roman"/>
                <w:color w:val="auto"/>
              </w:rPr>
              <w:t>、上游流场敏感度等级</w:t>
            </w:r>
            <w:r>
              <w:rPr>
                <w:rFonts w:hint="eastAsia"/>
                <w:color w:val="auto"/>
              </w:rPr>
              <w:t>:U10</w:t>
            </w:r>
          </w:p>
          <w:p w14:paraId="587423B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ascii="宋体" w:hAnsi="宋体" w:cs="Times New Roman"/>
                <w:color w:val="auto"/>
              </w:rPr>
              <w:t>下游流场敏感度等级</w:t>
            </w:r>
            <w:r>
              <w:rPr>
                <w:rFonts w:hint="eastAsia"/>
                <w:color w:val="auto"/>
              </w:rPr>
              <w:t>:D5</w:t>
            </w:r>
          </w:p>
          <w:p w14:paraId="4DEE0AD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11</w:t>
            </w:r>
            <w:r>
              <w:rPr>
                <w:rFonts w:hint="eastAsia" w:ascii="宋体" w:hAnsi="宋体" w:cs="Times New Roman"/>
                <w:color w:val="auto"/>
              </w:rPr>
              <w:t>、环境等级</w:t>
            </w:r>
            <w:r>
              <w:rPr>
                <w:rFonts w:hint="eastAsia"/>
                <w:color w:val="auto"/>
              </w:rPr>
              <w:t>:B</w:t>
            </w:r>
            <w:r>
              <w:rPr>
                <w:rFonts w:hint="eastAsia" w:ascii="宋体" w:hAnsi="宋体" w:cs="Times New Roman"/>
                <w:color w:val="auto"/>
              </w:rPr>
              <w:t>级</w:t>
            </w:r>
          </w:p>
          <w:p w14:paraId="7C0FB70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12</w:t>
            </w:r>
            <w:r>
              <w:rPr>
                <w:rFonts w:hint="eastAsia" w:ascii="宋体" w:hAnsi="宋体" w:cs="Times New Roman"/>
                <w:color w:val="auto"/>
              </w:rPr>
              <w:t>、电磁环境等级</w:t>
            </w:r>
            <w:r>
              <w:rPr>
                <w:rFonts w:hint="eastAsia"/>
                <w:color w:val="auto"/>
              </w:rPr>
              <w:t>:E1</w:t>
            </w:r>
            <w:r>
              <w:rPr>
                <w:rFonts w:hint="eastAsia" w:ascii="宋体" w:hAnsi="宋体" w:cs="Times New Roman"/>
                <w:color w:val="auto"/>
              </w:rPr>
              <w:t>级</w:t>
            </w:r>
          </w:p>
          <w:p w14:paraId="4832033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13</w:t>
            </w:r>
            <w:r>
              <w:rPr>
                <w:rFonts w:hint="eastAsia" w:ascii="宋体" w:hAnsi="宋体" w:cs="Times New Roman"/>
                <w:color w:val="auto"/>
              </w:rPr>
              <w:t>、水表的最大允许压力</w:t>
            </w:r>
            <w:r>
              <w:rPr>
                <w:rFonts w:hint="eastAsia"/>
                <w:color w:val="auto"/>
              </w:rPr>
              <w:t>(MAP)</w:t>
            </w:r>
            <w:r>
              <w:rPr>
                <w:rFonts w:hint="eastAsia" w:ascii="宋体" w:hAnsi="宋体" w:cs="Times New Roman"/>
                <w:color w:val="auto"/>
              </w:rPr>
              <w:t xml:space="preserve">至少为 </w:t>
            </w:r>
            <w:r>
              <w:rPr>
                <w:rFonts w:hint="eastAsia"/>
                <w:color w:val="auto"/>
              </w:rPr>
              <w:t>1MPa</w:t>
            </w:r>
          </w:p>
          <w:p w14:paraId="7C26EE4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14</w:t>
            </w:r>
            <w:r>
              <w:rPr>
                <w:rFonts w:hint="eastAsia" w:ascii="宋体" w:hAnsi="宋体" w:cs="Times New Roman"/>
                <w:color w:val="auto"/>
              </w:rPr>
              <w:t>、水表在承受</w:t>
            </w:r>
            <w:r>
              <w:rPr>
                <w:rFonts w:hint="eastAsia"/>
                <w:color w:val="auto"/>
              </w:rPr>
              <w:t>1.6</w:t>
            </w:r>
            <w:r>
              <w:rPr>
                <w:rFonts w:hint="eastAsia" w:ascii="宋体" w:hAnsi="宋体" w:cs="Times New Roman"/>
                <w:color w:val="auto"/>
              </w:rPr>
              <w:t>倍最大允许压力，施加</w:t>
            </w:r>
            <w:r>
              <w:rPr>
                <w:rFonts w:hint="eastAsia"/>
                <w:color w:val="auto"/>
              </w:rPr>
              <w:t>15min</w:t>
            </w:r>
            <w:r>
              <w:rPr>
                <w:rFonts w:hint="eastAsia" w:ascii="宋体" w:hAnsi="宋体" w:cs="Times New Roman"/>
                <w:color w:val="auto"/>
              </w:rPr>
              <w:t>的试验压力下而不发生渗漏、泄露或损坏。</w:t>
            </w:r>
          </w:p>
          <w:p w14:paraId="10E8941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15</w:t>
            </w:r>
            <w:r>
              <w:rPr>
                <w:rFonts w:hint="eastAsia" w:ascii="宋体" w:hAnsi="宋体" w:cs="Times New Roman"/>
                <w:color w:val="auto"/>
              </w:rPr>
              <w:t>、水表在承受</w:t>
            </w:r>
            <w:r>
              <w:rPr>
                <w:rFonts w:hint="eastAsia"/>
                <w:color w:val="auto"/>
              </w:rPr>
              <w:t>2</w:t>
            </w:r>
            <w:r>
              <w:rPr>
                <w:rFonts w:hint="eastAsia" w:ascii="宋体" w:hAnsi="宋体" w:cs="Times New Roman"/>
                <w:color w:val="auto"/>
              </w:rPr>
              <w:t>倍最大允许压力，施加</w:t>
            </w:r>
            <w:r>
              <w:rPr>
                <w:rFonts w:hint="eastAsia"/>
                <w:color w:val="auto"/>
              </w:rPr>
              <w:t>1min</w:t>
            </w:r>
            <w:r>
              <w:rPr>
                <w:rFonts w:hint="eastAsia" w:ascii="宋体" w:hAnsi="宋体" w:cs="Times New Roman"/>
                <w:color w:val="auto"/>
              </w:rPr>
              <w:t>的试验压力下而不发生渗漏、泄露或损坏。</w:t>
            </w:r>
          </w:p>
          <w:p w14:paraId="31294EE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16</w:t>
            </w:r>
            <w:r>
              <w:rPr>
                <w:rFonts w:hint="eastAsia" w:ascii="宋体" w:hAnsi="宋体" w:cs="Times New Roman"/>
                <w:color w:val="auto"/>
              </w:rPr>
              <w:t>、在</w:t>
            </w:r>
            <w:r>
              <w:rPr>
                <w:rFonts w:hint="eastAsia"/>
                <w:color w:val="auto"/>
              </w:rPr>
              <w:t>0.04m</w:t>
            </w:r>
            <w:r>
              <w:rPr>
                <w:rFonts w:hint="eastAsia" w:ascii="宋体" w:hAnsi="宋体" w:cs="Times New Roman"/>
                <w:color w:val="auto"/>
              </w:rPr>
              <w:t>³</w:t>
            </w:r>
            <w:r>
              <w:rPr>
                <w:rFonts w:hint="eastAsia"/>
                <w:color w:val="auto"/>
              </w:rPr>
              <w:t>/h</w:t>
            </w:r>
            <w:r>
              <w:rPr>
                <w:rFonts w:hint="eastAsia" w:ascii="宋体" w:hAnsi="宋体" w:cs="Times New Roman"/>
                <w:color w:val="auto"/>
              </w:rPr>
              <w:t>试验下，固有示值误差在</w:t>
            </w:r>
            <w:r>
              <w:rPr>
                <w:rFonts w:hint="eastAsia"/>
                <w:color w:val="auto"/>
              </w:rPr>
              <w:t>-2%</w:t>
            </w:r>
            <w:r>
              <w:rPr>
                <w:rFonts w:hint="eastAsia" w:ascii="宋体" w:hAnsi="宋体" w:cs="Times New Roman"/>
                <w:color w:val="auto"/>
              </w:rPr>
              <w:t>≤δ≤</w:t>
            </w:r>
            <w:r>
              <w:rPr>
                <w:rFonts w:hint="eastAsia"/>
                <w:color w:val="auto"/>
              </w:rPr>
              <w:t>2%</w:t>
            </w:r>
            <w:r>
              <w:rPr>
                <w:rFonts w:hint="eastAsia" w:ascii="宋体" w:hAnsi="宋体" w:cs="Times New Roman"/>
                <w:color w:val="auto"/>
              </w:rPr>
              <w:t>范围内。</w:t>
            </w:r>
          </w:p>
          <w:p w14:paraId="55972EB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cs="Times New Roman"/>
                <w:color w:val="auto"/>
              </w:rPr>
              <w:t>17</w:t>
            </w:r>
            <w:r>
              <w:rPr>
                <w:rFonts w:hint="eastAsia" w:ascii="宋体" w:hAnsi="宋体" w:cs="Times New Roman"/>
                <w:color w:val="auto"/>
              </w:rPr>
              <w:t>、水温保持在</w:t>
            </w:r>
            <w:r>
              <w:rPr>
                <w:rFonts w:cs="Times New Roman"/>
                <w:color w:val="auto"/>
              </w:rPr>
              <w:t>(10±5)</w:t>
            </w:r>
            <w:r>
              <w:rPr>
                <w:rFonts w:hint="eastAsia" w:ascii="宋体" w:hAnsi="宋体" w:cs="Times New Roman"/>
                <w:color w:val="auto"/>
              </w:rPr>
              <w:t>℃</w:t>
            </w:r>
            <w:r>
              <w:rPr>
                <w:rFonts w:cs="Times New Roman"/>
                <w:color w:val="auto"/>
              </w:rPr>
              <w:t>,</w:t>
            </w:r>
            <w:r>
              <w:rPr>
                <w:rFonts w:hint="eastAsia" w:ascii="宋体" w:hAnsi="宋体" w:cs="Times New Roman"/>
                <w:color w:val="auto"/>
              </w:rPr>
              <w:t>在</w:t>
            </w:r>
            <w:r>
              <w:rPr>
                <w:rFonts w:cs="Times New Roman"/>
                <w:color w:val="auto"/>
              </w:rPr>
              <w:t>Q₂</w:t>
            </w:r>
            <w:r>
              <w:rPr>
                <w:rFonts w:hint="eastAsia" w:ascii="宋体" w:hAnsi="宋体" w:cs="Times New Roman"/>
                <w:color w:val="auto"/>
              </w:rPr>
              <w:t>流量下</w:t>
            </w:r>
            <w:r>
              <w:rPr>
                <w:rFonts w:cs="Times New Roman"/>
                <w:color w:val="auto"/>
              </w:rPr>
              <w:t xml:space="preserve"> </w:t>
            </w:r>
            <w:r>
              <w:rPr>
                <w:rFonts w:hint="eastAsia" w:ascii="宋体" w:hAnsi="宋体" w:cs="Times New Roman"/>
                <w:color w:val="auto"/>
              </w:rPr>
              <w:t>测量水表的示值误差为</w:t>
            </w:r>
            <w:r>
              <w:rPr>
                <w:rFonts w:cs="Times New Roman"/>
                <w:color w:val="auto"/>
              </w:rPr>
              <w:t>-1.10%</w:t>
            </w:r>
          </w:p>
          <w:p w14:paraId="3FF6BC3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cs="Times New Roman"/>
                <w:color w:val="auto"/>
              </w:rPr>
              <w:t>18</w:t>
            </w:r>
            <w:r>
              <w:rPr>
                <w:rFonts w:hint="eastAsia" w:ascii="宋体" w:hAnsi="宋体" w:cs="Times New Roman"/>
                <w:color w:val="auto"/>
              </w:rPr>
              <w:t>、水温保持在最高允许温度</w:t>
            </w:r>
            <w:r>
              <w:rPr>
                <w:rFonts w:cs="Times New Roman"/>
                <w:color w:val="auto"/>
              </w:rPr>
              <w:t>MAT,</w:t>
            </w:r>
            <w:r>
              <w:rPr>
                <w:rFonts w:hint="eastAsia" w:ascii="宋体" w:hAnsi="宋体" w:cs="Times New Roman"/>
                <w:color w:val="auto"/>
              </w:rPr>
              <w:t>允许偏差</w:t>
            </w:r>
            <w:r>
              <w:rPr>
                <w:rFonts w:cs="Times New Roman"/>
                <w:color w:val="auto"/>
              </w:rPr>
              <w:t>-5</w:t>
            </w:r>
            <w:r>
              <w:rPr>
                <w:rFonts w:hint="eastAsia" w:ascii="宋体" w:hAnsi="宋体" w:cs="Times New Roman"/>
                <w:color w:val="auto"/>
              </w:rPr>
              <w:t>℃</w:t>
            </w:r>
            <w:r>
              <w:rPr>
                <w:rFonts w:cs="Times New Roman"/>
                <w:color w:val="auto"/>
              </w:rPr>
              <w:t>~0</w:t>
            </w:r>
            <w:r>
              <w:rPr>
                <w:rFonts w:hint="eastAsia" w:ascii="宋体" w:hAnsi="宋体" w:cs="Times New Roman"/>
                <w:color w:val="auto"/>
              </w:rPr>
              <w:t>℃</w:t>
            </w:r>
            <w:r>
              <w:rPr>
                <w:rFonts w:cs="Times New Roman"/>
                <w:color w:val="auto"/>
              </w:rPr>
              <w:t>,</w:t>
            </w:r>
            <w:r>
              <w:rPr>
                <w:rFonts w:hint="eastAsia" w:ascii="宋体" w:hAnsi="宋体" w:cs="Times New Roman"/>
                <w:color w:val="auto"/>
              </w:rPr>
              <w:t>在</w:t>
            </w:r>
            <w:r>
              <w:rPr>
                <w:rFonts w:cs="Times New Roman"/>
                <w:color w:val="auto"/>
              </w:rPr>
              <w:t>Q₂</w:t>
            </w:r>
            <w:r>
              <w:rPr>
                <w:rFonts w:hint="eastAsia" w:ascii="宋体" w:hAnsi="宋体" w:cs="Times New Roman"/>
                <w:color w:val="auto"/>
              </w:rPr>
              <w:t>流量下测量水表的示值误差为</w:t>
            </w:r>
            <w:r>
              <w:rPr>
                <w:rFonts w:cs="Times New Roman"/>
                <w:color w:val="auto"/>
              </w:rPr>
              <w:t>-0.90%</w:t>
            </w:r>
          </w:p>
          <w:p w14:paraId="5855CA5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cs="Times New Roman"/>
                <w:color w:val="auto"/>
              </w:rPr>
              <w:t>19</w:t>
            </w:r>
            <w:r>
              <w:rPr>
                <w:rFonts w:hint="eastAsia" w:ascii="宋体" w:hAnsi="宋体" w:cs="Times New Roman"/>
                <w:color w:val="auto"/>
              </w:rPr>
              <w:t>、水表入口水压保持在</w:t>
            </w:r>
            <w:r>
              <w:rPr>
                <w:rFonts w:cs="Times New Roman"/>
                <w:color w:val="auto"/>
              </w:rPr>
              <w:t>0.03MPa,</w:t>
            </w:r>
            <w:r>
              <w:rPr>
                <w:rFonts w:hint="eastAsia" w:ascii="宋体" w:hAnsi="宋体" w:cs="Times New Roman"/>
                <w:color w:val="auto"/>
              </w:rPr>
              <w:t>允许</w:t>
            </w:r>
            <w:r>
              <w:rPr>
                <w:rFonts w:cs="Times New Roman"/>
                <w:color w:val="auto"/>
              </w:rPr>
              <w:t xml:space="preserve"> </w:t>
            </w:r>
            <w:r>
              <w:rPr>
                <w:rFonts w:hint="eastAsia" w:ascii="宋体" w:hAnsi="宋体" w:cs="Times New Roman"/>
                <w:color w:val="auto"/>
              </w:rPr>
              <w:t>偏差</w:t>
            </w:r>
            <w:r>
              <w:rPr>
                <w:rFonts w:cs="Times New Roman"/>
                <w:color w:val="auto"/>
              </w:rPr>
              <w:t>5%</w:t>
            </w:r>
            <w:r>
              <w:rPr>
                <w:rFonts w:hint="eastAsia" w:ascii="宋体" w:hAnsi="宋体" w:cs="Times New Roman"/>
                <w:color w:val="auto"/>
              </w:rPr>
              <w:t>～</w:t>
            </w:r>
            <w:r>
              <w:rPr>
                <w:rFonts w:cs="Times New Roman"/>
                <w:color w:val="auto"/>
              </w:rPr>
              <w:t>0%,</w:t>
            </w:r>
            <w:r>
              <w:rPr>
                <w:rFonts w:hint="eastAsia" w:ascii="宋体" w:hAnsi="宋体" w:cs="Times New Roman"/>
                <w:color w:val="auto"/>
              </w:rPr>
              <w:t>在</w:t>
            </w:r>
            <w:r>
              <w:rPr>
                <w:rFonts w:cs="Times New Roman"/>
                <w:color w:val="auto"/>
              </w:rPr>
              <w:t>Q₂</w:t>
            </w:r>
            <w:r>
              <w:rPr>
                <w:rFonts w:hint="eastAsia" w:ascii="宋体" w:hAnsi="宋体" w:cs="Times New Roman"/>
                <w:color w:val="auto"/>
              </w:rPr>
              <w:t>流量下测量水表的示值误差为</w:t>
            </w:r>
            <w:r>
              <w:rPr>
                <w:rFonts w:cs="Times New Roman"/>
                <w:color w:val="auto"/>
              </w:rPr>
              <w:t>-0.70%</w:t>
            </w:r>
          </w:p>
          <w:p w14:paraId="3D14C62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cs="Times New Roman"/>
                <w:color w:val="auto"/>
              </w:rPr>
              <w:t>20</w:t>
            </w:r>
            <w:r>
              <w:rPr>
                <w:rFonts w:hint="eastAsia" w:ascii="宋体" w:hAnsi="宋体" w:cs="Times New Roman"/>
                <w:color w:val="auto"/>
              </w:rPr>
              <w:t>、水表入口压力保持在</w:t>
            </w:r>
            <w:r>
              <w:rPr>
                <w:rFonts w:cs="Times New Roman"/>
                <w:color w:val="auto"/>
              </w:rPr>
              <w:t>MAP,</w:t>
            </w:r>
            <w:r>
              <w:rPr>
                <w:rFonts w:hint="eastAsia" w:ascii="宋体" w:hAnsi="宋体" w:cs="Times New Roman"/>
                <w:color w:val="auto"/>
              </w:rPr>
              <w:t>允许偏差</w:t>
            </w:r>
            <w:r>
              <w:rPr>
                <w:rFonts w:cs="Times New Roman"/>
                <w:color w:val="auto"/>
              </w:rPr>
              <w:t>0%</w:t>
            </w:r>
            <w:r>
              <w:rPr>
                <w:rFonts w:hint="eastAsia" w:ascii="宋体" w:hAnsi="宋体" w:cs="Times New Roman"/>
                <w:color w:val="auto"/>
              </w:rPr>
              <w:t>～</w:t>
            </w:r>
            <w:r>
              <w:rPr>
                <w:rFonts w:cs="Times New Roman"/>
                <w:color w:val="auto"/>
              </w:rPr>
              <w:t>-10%,</w:t>
            </w:r>
            <w:r>
              <w:rPr>
                <w:rFonts w:hint="eastAsia" w:ascii="宋体" w:hAnsi="宋体" w:cs="Times New Roman"/>
                <w:color w:val="auto"/>
              </w:rPr>
              <w:t>在</w:t>
            </w:r>
            <w:r>
              <w:rPr>
                <w:rFonts w:cs="Times New Roman"/>
                <w:color w:val="auto"/>
              </w:rPr>
              <w:t>Q₂</w:t>
            </w:r>
            <w:r>
              <w:rPr>
                <w:rFonts w:hint="eastAsia" w:ascii="宋体" w:hAnsi="宋体" w:cs="Times New Roman"/>
                <w:color w:val="auto"/>
              </w:rPr>
              <w:t>流量下测量水表的示值误差为</w:t>
            </w:r>
            <w:r>
              <w:rPr>
                <w:rFonts w:cs="Times New Roman"/>
                <w:color w:val="auto"/>
              </w:rPr>
              <w:t>-0.90%</w:t>
            </w:r>
          </w:p>
          <w:p w14:paraId="38CF56B7">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hint="eastAsia"/>
                <w:color w:val="auto"/>
              </w:rPr>
              <w:t>21</w:t>
            </w:r>
            <w:r>
              <w:rPr>
                <w:rFonts w:hint="eastAsia" w:ascii="宋体" w:hAnsi="宋体" w:cs="Times New Roman"/>
                <w:color w:val="auto"/>
              </w:rPr>
              <w:t>、水表辅助装置试验期间，临时或永久安装的辅助装置，辅助装置上的体积示值与主示值之间的差异应不大于一个显示分度值</w:t>
            </w:r>
          </w:p>
          <w:p w14:paraId="1844148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22</w:t>
            </w:r>
            <w:r>
              <w:rPr>
                <w:rFonts w:hint="eastAsia" w:ascii="宋体" w:hAnsi="宋体" w:cs="Times New Roman"/>
                <w:color w:val="auto"/>
              </w:rPr>
              <w:t>、水表辅助装置试验期间，机电转换误差不超过±</w:t>
            </w:r>
            <w:r>
              <w:rPr>
                <w:rFonts w:hint="eastAsia"/>
                <w:color w:val="auto"/>
              </w:rPr>
              <w:t>1</w:t>
            </w:r>
            <w:r>
              <w:rPr>
                <w:rFonts w:hint="eastAsia" w:ascii="宋体" w:hAnsi="宋体" w:cs="Times New Roman"/>
                <w:color w:val="auto"/>
              </w:rPr>
              <w:t>个脉冲当量，一个最小转换分度值为</w:t>
            </w:r>
            <w:r>
              <w:rPr>
                <w:rFonts w:hint="eastAsia"/>
                <w:color w:val="auto"/>
              </w:rPr>
              <w:t>0.0018m</w:t>
            </w:r>
            <w:r>
              <w:rPr>
                <w:rFonts w:hint="eastAsia" w:ascii="宋体" w:hAnsi="宋体" w:cs="Times New Roman"/>
                <w:color w:val="auto"/>
              </w:rPr>
              <w:t>³，</w:t>
            </w:r>
          </w:p>
          <w:p w14:paraId="2CBDF21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cs="Times New Roman"/>
                <w:color w:val="auto"/>
              </w:rPr>
              <w:t>23</w:t>
            </w:r>
            <w:r>
              <w:rPr>
                <w:rFonts w:hint="eastAsia" w:ascii="宋体" w:hAnsi="宋体" w:cs="Times New Roman"/>
                <w:color w:val="auto"/>
              </w:rPr>
              <w:t>、内静磁场施加试验条件期间在</w:t>
            </w:r>
            <w:r>
              <w:rPr>
                <w:rFonts w:cs="Times New Roman"/>
                <w:color w:val="auto"/>
              </w:rPr>
              <w:t>Q₃</w:t>
            </w:r>
            <w:r>
              <w:rPr>
                <w:rFonts w:hint="eastAsia" w:ascii="宋体" w:hAnsi="宋体" w:cs="Times New Roman"/>
                <w:color w:val="auto"/>
              </w:rPr>
              <w:t>流量下测量水表的示值误差应不超过高区的最大允许误差为</w:t>
            </w:r>
            <w:r>
              <w:rPr>
                <w:rFonts w:cs="Times New Roman"/>
                <w:color w:val="auto"/>
              </w:rPr>
              <w:t>0.48%</w:t>
            </w:r>
            <w:r>
              <w:rPr>
                <w:rFonts w:hint="eastAsia" w:ascii="宋体" w:hAnsi="宋体" w:cs="Times New Roman"/>
                <w:color w:val="auto"/>
              </w:rPr>
              <w:t>，在</w:t>
            </w:r>
            <w:r>
              <w:rPr>
                <w:rFonts w:cs="Times New Roman"/>
                <w:color w:val="auto"/>
              </w:rPr>
              <w:t>(-2%</w:t>
            </w:r>
            <w:r>
              <w:rPr>
                <w:rFonts w:hint="eastAsia" w:ascii="宋体" w:hAnsi="宋体" w:cs="Times New Roman"/>
                <w:color w:val="auto"/>
              </w:rPr>
              <w:t>≤δ≤</w:t>
            </w:r>
            <w:r>
              <w:rPr>
                <w:rFonts w:cs="Times New Roman"/>
                <w:color w:val="auto"/>
              </w:rPr>
              <w:t>2%)</w:t>
            </w:r>
            <w:r>
              <w:rPr>
                <w:rFonts w:hint="eastAsia" w:ascii="宋体" w:hAnsi="宋体" w:cs="Times New Roman"/>
                <w:color w:val="auto"/>
              </w:rPr>
              <w:t>范围内；</w:t>
            </w:r>
          </w:p>
          <w:p w14:paraId="04EF4A8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hint="eastAsia"/>
                <w:color w:val="auto"/>
              </w:rPr>
              <w:t>24</w:t>
            </w:r>
            <w:r>
              <w:rPr>
                <w:rFonts w:hint="eastAsia" w:ascii="宋体" w:hAnsi="宋体" w:cs="Times New Roman"/>
                <w:color w:val="auto"/>
              </w:rPr>
              <w:t>、静磁场施加试验条件期间，水表功能检查正常</w:t>
            </w:r>
          </w:p>
          <w:p w14:paraId="33D6EBC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25</w:t>
            </w:r>
            <w:r>
              <w:rPr>
                <w:rFonts w:hint="eastAsia" w:ascii="宋体" w:hAnsi="宋体" w:cs="Times New Roman"/>
                <w:color w:val="auto"/>
              </w:rPr>
              <w:t>、静磁场施加试验条件期间，机电转换误差：不超过±</w:t>
            </w:r>
            <w:r>
              <w:rPr>
                <w:rFonts w:hint="eastAsia"/>
                <w:color w:val="auto"/>
              </w:rPr>
              <w:t>1</w:t>
            </w:r>
            <w:r>
              <w:rPr>
                <w:rFonts w:hint="eastAsia" w:ascii="宋体" w:hAnsi="宋体" w:cs="Times New Roman"/>
                <w:color w:val="auto"/>
              </w:rPr>
              <w:t>个脉冲当量，一个最小转换分度值为</w:t>
            </w:r>
            <w:r>
              <w:rPr>
                <w:rFonts w:hint="eastAsia"/>
                <w:color w:val="auto"/>
              </w:rPr>
              <w:t>-0.0074m</w:t>
            </w:r>
            <w:r>
              <w:rPr>
                <w:rFonts w:hint="eastAsia" w:ascii="宋体" w:hAnsi="宋体" w:cs="Times New Roman"/>
                <w:color w:val="auto"/>
              </w:rPr>
              <w:t>³</w:t>
            </w:r>
          </w:p>
          <w:p w14:paraId="0728950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26</w:t>
            </w:r>
            <w:r>
              <w:rPr>
                <w:rFonts w:hint="eastAsia" w:ascii="宋体" w:hAnsi="宋体" w:cs="Times New Roman"/>
                <w:color w:val="auto"/>
              </w:rPr>
              <w:t>、在</w:t>
            </w:r>
            <w:r>
              <w:rPr>
                <w:rFonts w:hint="eastAsia"/>
                <w:color w:val="auto"/>
              </w:rPr>
              <w:t>Q1</w:t>
            </w:r>
            <w:r>
              <w:rPr>
                <w:rFonts w:hint="eastAsia" w:ascii="宋体" w:hAnsi="宋体" w:cs="Times New Roman"/>
                <w:color w:val="auto"/>
              </w:rPr>
              <w:t>～</w:t>
            </w:r>
            <w:r>
              <w:rPr>
                <w:rFonts w:hint="eastAsia"/>
                <w:color w:val="auto"/>
              </w:rPr>
              <w:t>Q3</w:t>
            </w:r>
            <w:r>
              <w:rPr>
                <w:rFonts w:hint="eastAsia" w:ascii="宋体" w:hAnsi="宋体" w:cs="Times New Roman"/>
                <w:color w:val="auto"/>
              </w:rPr>
              <w:t>范围内的任何一个流量下通过水表的最大压力损失不超过</w:t>
            </w:r>
            <w:r>
              <w:rPr>
                <w:rFonts w:hint="eastAsia"/>
                <w:color w:val="auto"/>
              </w:rPr>
              <w:t>0.059MPa</w:t>
            </w:r>
          </w:p>
          <w:p w14:paraId="5FF3B6E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27</w:t>
            </w:r>
            <w:r>
              <w:rPr>
                <w:rFonts w:hint="eastAsia" w:ascii="宋体" w:hAnsi="宋体" w:cs="Times New Roman"/>
                <w:color w:val="auto"/>
              </w:rPr>
              <w:t>、在环境等级为</w:t>
            </w:r>
            <w:r>
              <w:rPr>
                <w:rFonts w:hint="eastAsia"/>
                <w:color w:val="auto"/>
              </w:rPr>
              <w:t>B</w:t>
            </w:r>
            <w:r>
              <w:rPr>
                <w:rFonts w:hint="eastAsia" w:ascii="宋体" w:hAnsi="宋体" w:cs="Times New Roman"/>
                <w:color w:val="auto"/>
              </w:rPr>
              <w:t>级、严酷度等级为</w:t>
            </w:r>
            <w:r>
              <w:rPr>
                <w:rFonts w:hint="eastAsia"/>
                <w:color w:val="auto"/>
              </w:rPr>
              <w:t>3</w:t>
            </w:r>
            <w:r>
              <w:rPr>
                <w:rFonts w:hint="eastAsia" w:ascii="宋体" w:hAnsi="宋体" w:cs="Times New Roman"/>
                <w:color w:val="auto"/>
              </w:rPr>
              <w:t>级、环境温度在</w:t>
            </w:r>
            <w:r>
              <w:rPr>
                <w:rFonts w:hint="eastAsia"/>
                <w:color w:val="auto"/>
              </w:rPr>
              <w:t>(55</w:t>
            </w:r>
            <w:r>
              <w:rPr>
                <w:rFonts w:hint="eastAsia" w:ascii="宋体" w:hAnsi="宋体" w:cs="Times New Roman"/>
                <w:color w:val="auto"/>
              </w:rPr>
              <w:t>±</w:t>
            </w:r>
            <w:r>
              <w:rPr>
                <w:rFonts w:hint="eastAsia"/>
                <w:color w:val="auto"/>
              </w:rPr>
              <w:t>2)</w:t>
            </w:r>
            <w:r>
              <w:rPr>
                <w:rFonts w:hint="eastAsia" w:ascii="宋体" w:hAnsi="宋体" w:cs="Times New Roman"/>
                <w:color w:val="auto"/>
              </w:rPr>
              <w:t>℃的环境下，经过持续</w:t>
            </w:r>
            <w:r>
              <w:rPr>
                <w:rFonts w:hint="eastAsia"/>
                <w:color w:val="auto"/>
              </w:rPr>
              <w:t>2h</w:t>
            </w:r>
            <w:r>
              <w:rPr>
                <w:rFonts w:hint="eastAsia" w:ascii="宋体" w:hAnsi="宋体" w:cs="Times New Roman"/>
                <w:color w:val="auto"/>
              </w:rPr>
              <w:t>循环</w:t>
            </w:r>
            <w:r>
              <w:rPr>
                <w:rFonts w:hint="eastAsia"/>
                <w:color w:val="auto"/>
              </w:rPr>
              <w:t>1</w:t>
            </w:r>
            <w:r>
              <w:rPr>
                <w:rFonts w:hint="eastAsia" w:ascii="宋体" w:hAnsi="宋体" w:cs="Times New Roman"/>
                <w:color w:val="auto"/>
              </w:rPr>
              <w:t>次的高温（无冷凝）试验：</w:t>
            </w:r>
          </w:p>
          <w:p w14:paraId="715C748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a)</w:t>
            </w:r>
            <w:r>
              <w:rPr>
                <w:rFonts w:hint="eastAsia" w:cs="Times New Roman"/>
                <w:color w:val="auto"/>
              </w:rPr>
              <w:tab/>
            </w:r>
            <w:r>
              <w:rPr>
                <w:rFonts w:hint="eastAsia" w:ascii="宋体" w:hAnsi="宋体" w:cs="Times New Roman"/>
                <w:color w:val="auto"/>
              </w:rPr>
              <w:t>施加试验条件期间，水表功能检查正常</w:t>
            </w:r>
          </w:p>
          <w:p w14:paraId="522BBB9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b)</w:t>
            </w:r>
            <w:r>
              <w:rPr>
                <w:rFonts w:hint="eastAsia" w:cs="Times New Roman"/>
                <w:color w:val="auto"/>
              </w:rPr>
              <w:tab/>
            </w:r>
            <w:r>
              <w:rPr>
                <w:rFonts w:hint="eastAsia" w:ascii="宋体" w:hAnsi="宋体" w:cs="Times New Roman"/>
                <w:color w:val="auto"/>
              </w:rPr>
              <w:t>机电转换误差不超过±</w:t>
            </w:r>
            <w:r>
              <w:rPr>
                <w:rFonts w:hint="eastAsia"/>
                <w:color w:val="auto"/>
              </w:rPr>
              <w:t>1</w:t>
            </w:r>
            <w:r>
              <w:rPr>
                <w:rFonts w:hint="eastAsia" w:ascii="宋体" w:hAnsi="宋体" w:cs="Times New Roman"/>
                <w:color w:val="auto"/>
              </w:rPr>
              <w:t>个脉冲当量，一个最小转换分度值为</w:t>
            </w:r>
            <w:r>
              <w:rPr>
                <w:rFonts w:hint="eastAsia"/>
                <w:color w:val="auto"/>
              </w:rPr>
              <w:t>-0.0017m</w:t>
            </w:r>
            <w:r>
              <w:rPr>
                <w:rFonts w:hint="eastAsia" w:ascii="宋体" w:hAnsi="宋体" w:cs="Times New Roman"/>
                <w:color w:val="auto"/>
              </w:rPr>
              <w:t>³</w:t>
            </w:r>
          </w:p>
          <w:p w14:paraId="49905489">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28</w:t>
            </w:r>
            <w:r>
              <w:rPr>
                <w:rFonts w:hint="eastAsia" w:ascii="宋体" w:hAnsi="宋体" w:cs="Times New Roman"/>
                <w:color w:val="auto"/>
              </w:rPr>
              <w:t>、在环境等级为</w:t>
            </w:r>
            <w:r>
              <w:rPr>
                <w:rFonts w:hint="eastAsia"/>
                <w:color w:val="auto"/>
              </w:rPr>
              <w:t>B</w:t>
            </w:r>
            <w:r>
              <w:rPr>
                <w:rFonts w:hint="eastAsia" w:ascii="宋体" w:hAnsi="宋体" w:cs="Times New Roman"/>
                <w:color w:val="auto"/>
              </w:rPr>
              <w:t>级、严酷度等级为</w:t>
            </w:r>
            <w:r>
              <w:rPr>
                <w:rFonts w:hint="eastAsia"/>
                <w:color w:val="auto"/>
              </w:rPr>
              <w:t>1</w:t>
            </w:r>
            <w:r>
              <w:rPr>
                <w:rFonts w:hint="eastAsia" w:ascii="宋体" w:hAnsi="宋体" w:cs="Times New Roman"/>
                <w:color w:val="auto"/>
              </w:rPr>
              <w:t>级、环境温度在</w:t>
            </w:r>
            <w:r>
              <w:rPr>
                <w:rFonts w:hint="eastAsia"/>
                <w:color w:val="auto"/>
              </w:rPr>
              <w:t>(5</w:t>
            </w:r>
            <w:r>
              <w:rPr>
                <w:rFonts w:hint="eastAsia" w:ascii="宋体" w:hAnsi="宋体" w:cs="Times New Roman"/>
                <w:color w:val="auto"/>
              </w:rPr>
              <w:t>±</w:t>
            </w:r>
            <w:r>
              <w:rPr>
                <w:rFonts w:hint="eastAsia"/>
                <w:color w:val="auto"/>
              </w:rPr>
              <w:t>3)</w:t>
            </w:r>
            <w:r>
              <w:rPr>
                <w:rFonts w:hint="eastAsia" w:ascii="宋体" w:hAnsi="宋体" w:cs="Times New Roman"/>
                <w:color w:val="auto"/>
              </w:rPr>
              <w:t>℃的环境下，经过持续</w:t>
            </w:r>
            <w:r>
              <w:rPr>
                <w:rFonts w:hint="eastAsia"/>
                <w:color w:val="auto"/>
              </w:rPr>
              <w:t>2h</w:t>
            </w:r>
            <w:r>
              <w:rPr>
                <w:rFonts w:hint="eastAsia" w:ascii="宋体" w:hAnsi="宋体" w:cs="Times New Roman"/>
                <w:color w:val="auto"/>
              </w:rPr>
              <w:t>循环</w:t>
            </w:r>
            <w:r>
              <w:rPr>
                <w:rFonts w:hint="eastAsia"/>
                <w:color w:val="auto"/>
              </w:rPr>
              <w:t>1</w:t>
            </w:r>
            <w:r>
              <w:rPr>
                <w:rFonts w:hint="eastAsia" w:ascii="宋体" w:hAnsi="宋体" w:cs="Times New Roman"/>
                <w:color w:val="auto"/>
              </w:rPr>
              <w:t>次的低温试验：</w:t>
            </w:r>
          </w:p>
          <w:p w14:paraId="51E63AB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lang w:val="en-US" w:eastAsia="zh-CN"/>
              </w:rPr>
            </w:pPr>
            <w:r>
              <w:rPr>
                <w:rFonts w:hint="eastAsia"/>
                <w:color w:val="auto"/>
              </w:rPr>
              <w:t>a)</w:t>
            </w:r>
            <w:r>
              <w:rPr>
                <w:rFonts w:hint="eastAsia" w:cs="Times New Roman"/>
                <w:color w:val="auto"/>
              </w:rPr>
              <w:tab/>
            </w:r>
            <w:r>
              <w:rPr>
                <w:rFonts w:hint="eastAsia" w:ascii="宋体" w:hAnsi="宋体" w:cs="Times New Roman"/>
                <w:color w:val="auto"/>
              </w:rPr>
              <w:t>施加试验条件期间，水表功能检查正常</w:t>
            </w:r>
          </w:p>
        </w:tc>
        <w:tc>
          <w:tcPr>
            <w:tcW w:w="691" w:type="dxa"/>
            <w:tcBorders>
              <w:top w:val="single" w:color="auto" w:sz="4" w:space="0"/>
              <w:left w:val="nil"/>
              <w:bottom w:val="single" w:color="auto" w:sz="4" w:space="0"/>
              <w:right w:val="single" w:color="auto" w:sz="4" w:space="0"/>
            </w:tcBorders>
            <w:vAlign w:val="center"/>
          </w:tcPr>
          <w:p w14:paraId="532A01D0">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只</w:t>
            </w:r>
          </w:p>
        </w:tc>
        <w:tc>
          <w:tcPr>
            <w:tcW w:w="673" w:type="dxa"/>
            <w:tcBorders>
              <w:top w:val="single" w:color="auto" w:sz="4" w:space="0"/>
              <w:left w:val="nil"/>
              <w:bottom w:val="single" w:color="auto" w:sz="4" w:space="0"/>
              <w:right w:val="single" w:color="auto" w:sz="4" w:space="0"/>
            </w:tcBorders>
            <w:vAlign w:val="center"/>
          </w:tcPr>
          <w:p w14:paraId="112BF2E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19</w:t>
            </w:r>
          </w:p>
        </w:tc>
        <w:tc>
          <w:tcPr>
            <w:tcW w:w="881" w:type="dxa"/>
            <w:tcBorders>
              <w:top w:val="single" w:color="auto" w:sz="4" w:space="0"/>
              <w:left w:val="nil"/>
              <w:bottom w:val="single" w:color="auto" w:sz="4" w:space="0"/>
              <w:right w:val="single" w:color="auto" w:sz="4" w:space="0"/>
            </w:tcBorders>
            <w:vAlign w:val="center"/>
          </w:tcPr>
          <w:p w14:paraId="6C8DB33C">
            <w:pPr>
              <w:spacing w:line="560" w:lineRule="exact"/>
              <w:jc w:val="center"/>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vAlign w:val="center"/>
          </w:tcPr>
          <w:p w14:paraId="4EEE18EF">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27912FF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16F67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63DC706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6</w:t>
            </w:r>
          </w:p>
        </w:tc>
        <w:tc>
          <w:tcPr>
            <w:tcW w:w="1557" w:type="dxa"/>
            <w:tcBorders>
              <w:top w:val="single" w:color="auto" w:sz="4" w:space="0"/>
              <w:left w:val="nil"/>
              <w:bottom w:val="single" w:color="auto" w:sz="4" w:space="0"/>
              <w:right w:val="single" w:color="auto" w:sz="4" w:space="0"/>
            </w:tcBorders>
            <w:vAlign w:val="center"/>
          </w:tcPr>
          <w:p w14:paraId="714D7E5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z w:val="21"/>
                <w:szCs w:val="21"/>
              </w:rPr>
              <w:t>4G远传水表(DN20)</w:t>
            </w:r>
          </w:p>
        </w:tc>
        <w:tc>
          <w:tcPr>
            <w:tcW w:w="7677" w:type="dxa"/>
            <w:vMerge w:val="continue"/>
            <w:tcBorders>
              <w:left w:val="nil"/>
              <w:right w:val="single" w:color="auto" w:sz="4" w:space="0"/>
            </w:tcBorders>
            <w:vAlign w:val="center"/>
          </w:tcPr>
          <w:p w14:paraId="042468CC">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4434036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402130B0">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3</w:t>
            </w:r>
          </w:p>
        </w:tc>
        <w:tc>
          <w:tcPr>
            <w:tcW w:w="881" w:type="dxa"/>
            <w:tcBorders>
              <w:top w:val="single" w:color="auto" w:sz="4" w:space="0"/>
              <w:left w:val="nil"/>
              <w:bottom w:val="single" w:color="auto" w:sz="4" w:space="0"/>
              <w:right w:val="single" w:color="auto" w:sz="4" w:space="0"/>
            </w:tcBorders>
            <w:vAlign w:val="center"/>
          </w:tcPr>
          <w:p w14:paraId="5499BC31">
            <w:pPr>
              <w:spacing w:line="560" w:lineRule="exact"/>
              <w:jc w:val="center"/>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vAlign w:val="center"/>
          </w:tcPr>
          <w:p w14:paraId="2BFA3297">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0DE73A8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水平安装</w:t>
            </w:r>
          </w:p>
        </w:tc>
      </w:tr>
      <w:tr w14:paraId="6A482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666A27F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eastAsia="zh-CN"/>
              </w:rPr>
            </w:pPr>
            <w:r>
              <w:rPr>
                <w:rFonts w:hint="eastAsia" w:ascii="宋体" w:hAnsi="宋体" w:eastAsia="宋体" w:cs="宋体"/>
                <w:color w:val="auto"/>
                <w:spacing w:val="6"/>
                <w:sz w:val="21"/>
                <w:szCs w:val="21"/>
                <w:lang w:val="en-US" w:eastAsia="zh-CN"/>
              </w:rPr>
              <w:t>7</w:t>
            </w:r>
          </w:p>
        </w:tc>
        <w:tc>
          <w:tcPr>
            <w:tcW w:w="1557" w:type="dxa"/>
            <w:tcBorders>
              <w:top w:val="single" w:color="auto" w:sz="4" w:space="0"/>
              <w:left w:val="nil"/>
              <w:bottom w:val="single" w:color="auto" w:sz="4" w:space="0"/>
              <w:right w:val="single" w:color="auto" w:sz="4" w:space="0"/>
            </w:tcBorders>
            <w:vAlign w:val="center"/>
          </w:tcPr>
          <w:p w14:paraId="4260D25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58F849E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z w:val="21"/>
                <w:szCs w:val="21"/>
              </w:rPr>
              <w:t>（DN25）</w:t>
            </w:r>
          </w:p>
        </w:tc>
        <w:tc>
          <w:tcPr>
            <w:tcW w:w="7677" w:type="dxa"/>
            <w:vMerge w:val="continue"/>
            <w:tcBorders>
              <w:left w:val="nil"/>
              <w:right w:val="single" w:color="auto" w:sz="4" w:space="0"/>
            </w:tcBorders>
            <w:vAlign w:val="center"/>
          </w:tcPr>
          <w:p w14:paraId="2F47BECD">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4B4AFA2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2132D6C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6</w:t>
            </w:r>
          </w:p>
        </w:tc>
        <w:tc>
          <w:tcPr>
            <w:tcW w:w="881" w:type="dxa"/>
            <w:tcBorders>
              <w:top w:val="single" w:color="auto" w:sz="4" w:space="0"/>
              <w:left w:val="nil"/>
              <w:bottom w:val="single" w:color="auto" w:sz="4" w:space="0"/>
              <w:right w:val="single" w:color="auto" w:sz="4" w:space="0"/>
            </w:tcBorders>
            <w:vAlign w:val="center"/>
          </w:tcPr>
          <w:p w14:paraId="59455B9B">
            <w:pPr>
              <w:spacing w:line="560" w:lineRule="exact"/>
              <w:jc w:val="center"/>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vAlign w:val="center"/>
          </w:tcPr>
          <w:p w14:paraId="6F0B0F99">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5B0BCBD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5542E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1473D6D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8</w:t>
            </w:r>
          </w:p>
        </w:tc>
        <w:tc>
          <w:tcPr>
            <w:tcW w:w="1557" w:type="dxa"/>
            <w:tcBorders>
              <w:top w:val="single" w:color="auto" w:sz="4" w:space="0"/>
              <w:left w:val="nil"/>
              <w:bottom w:val="single" w:color="auto" w:sz="4" w:space="0"/>
              <w:right w:val="single" w:color="auto" w:sz="4" w:space="0"/>
            </w:tcBorders>
            <w:vAlign w:val="center"/>
          </w:tcPr>
          <w:p w14:paraId="4C669EED">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1022772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（DN50）</w:t>
            </w:r>
          </w:p>
        </w:tc>
        <w:tc>
          <w:tcPr>
            <w:tcW w:w="7677" w:type="dxa"/>
            <w:vMerge w:val="continue"/>
            <w:tcBorders>
              <w:left w:val="nil"/>
              <w:right w:val="single" w:color="auto" w:sz="4" w:space="0"/>
            </w:tcBorders>
            <w:vAlign w:val="center"/>
          </w:tcPr>
          <w:p w14:paraId="06C92B7A">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464DF58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7221DA8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881" w:type="dxa"/>
            <w:tcBorders>
              <w:top w:val="single" w:color="auto" w:sz="4" w:space="0"/>
              <w:left w:val="nil"/>
              <w:bottom w:val="single" w:color="auto" w:sz="4" w:space="0"/>
              <w:right w:val="single" w:color="auto" w:sz="4" w:space="0"/>
            </w:tcBorders>
            <w:vAlign w:val="center"/>
          </w:tcPr>
          <w:p w14:paraId="681F0452">
            <w:pPr>
              <w:spacing w:line="560" w:lineRule="exact"/>
              <w:jc w:val="center"/>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vAlign w:val="center"/>
          </w:tcPr>
          <w:p w14:paraId="5988CF30">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5491453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782EE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6189714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9</w:t>
            </w:r>
          </w:p>
        </w:tc>
        <w:tc>
          <w:tcPr>
            <w:tcW w:w="1557" w:type="dxa"/>
            <w:tcBorders>
              <w:top w:val="single" w:color="auto" w:sz="4" w:space="0"/>
              <w:left w:val="nil"/>
              <w:bottom w:val="single" w:color="auto" w:sz="4" w:space="0"/>
              <w:right w:val="single" w:color="auto" w:sz="4" w:space="0"/>
            </w:tcBorders>
            <w:vAlign w:val="center"/>
          </w:tcPr>
          <w:p w14:paraId="3B0433E0">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581B9BBF">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（DN50带法兰）</w:t>
            </w:r>
          </w:p>
        </w:tc>
        <w:tc>
          <w:tcPr>
            <w:tcW w:w="7677" w:type="dxa"/>
            <w:vMerge w:val="continue"/>
            <w:tcBorders>
              <w:left w:val="nil"/>
              <w:right w:val="single" w:color="auto" w:sz="4" w:space="0"/>
            </w:tcBorders>
            <w:vAlign w:val="center"/>
          </w:tcPr>
          <w:p w14:paraId="1615D933">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232985CF">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47119F2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881" w:type="dxa"/>
            <w:tcBorders>
              <w:top w:val="single" w:color="auto" w:sz="4" w:space="0"/>
              <w:left w:val="nil"/>
              <w:bottom w:val="single" w:color="auto" w:sz="4" w:space="0"/>
              <w:right w:val="single" w:color="auto" w:sz="4" w:space="0"/>
            </w:tcBorders>
            <w:vAlign w:val="center"/>
          </w:tcPr>
          <w:p w14:paraId="4F5B1857">
            <w:pPr>
              <w:spacing w:line="560" w:lineRule="exact"/>
              <w:jc w:val="center"/>
              <w:rPr>
                <w:rFonts w:hint="eastAsia" w:ascii="宋体" w:hAnsi="宋体" w:eastAsia="宋体" w:cs="宋体"/>
                <w:color w:val="auto"/>
                <w:spacing w:val="6"/>
                <w:sz w:val="21"/>
                <w:szCs w:val="21"/>
                <w:lang w:val="en-US" w:eastAsia="zh-CN"/>
              </w:rPr>
            </w:pPr>
          </w:p>
        </w:tc>
        <w:tc>
          <w:tcPr>
            <w:tcW w:w="828" w:type="dxa"/>
            <w:tcBorders>
              <w:top w:val="single" w:color="auto" w:sz="4" w:space="0"/>
              <w:left w:val="nil"/>
              <w:bottom w:val="single" w:color="auto" w:sz="4" w:space="0"/>
              <w:right w:val="single" w:color="auto" w:sz="4" w:space="0"/>
            </w:tcBorders>
            <w:vAlign w:val="center"/>
          </w:tcPr>
          <w:p w14:paraId="31D89B28">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7A7F8EFC">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01219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1ED75F9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eastAsia="zh-CN"/>
              </w:rPr>
            </w:pPr>
            <w:r>
              <w:rPr>
                <w:rFonts w:hint="eastAsia" w:ascii="宋体" w:hAnsi="宋体" w:eastAsia="宋体" w:cs="宋体"/>
                <w:color w:val="auto"/>
                <w:spacing w:val="6"/>
                <w:sz w:val="21"/>
                <w:szCs w:val="21"/>
              </w:rPr>
              <w:t>1</w:t>
            </w:r>
            <w:r>
              <w:rPr>
                <w:rFonts w:hint="eastAsia" w:ascii="宋体" w:hAnsi="宋体" w:eastAsia="宋体" w:cs="宋体"/>
                <w:color w:val="auto"/>
                <w:spacing w:val="6"/>
                <w:sz w:val="21"/>
                <w:szCs w:val="21"/>
                <w:lang w:val="en-US" w:eastAsia="zh-CN"/>
              </w:rPr>
              <w:t>0</w:t>
            </w:r>
          </w:p>
        </w:tc>
        <w:tc>
          <w:tcPr>
            <w:tcW w:w="1557" w:type="dxa"/>
            <w:tcBorders>
              <w:top w:val="single" w:color="auto" w:sz="4" w:space="0"/>
              <w:left w:val="nil"/>
              <w:bottom w:val="single" w:color="auto" w:sz="4" w:space="0"/>
              <w:right w:val="single" w:color="auto" w:sz="4" w:space="0"/>
            </w:tcBorders>
            <w:vAlign w:val="center"/>
          </w:tcPr>
          <w:p w14:paraId="16E9344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6EF5D36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（DN65）</w:t>
            </w:r>
          </w:p>
        </w:tc>
        <w:tc>
          <w:tcPr>
            <w:tcW w:w="7677" w:type="dxa"/>
            <w:vMerge w:val="continue"/>
            <w:tcBorders>
              <w:left w:val="nil"/>
              <w:right w:val="single" w:color="auto" w:sz="4" w:space="0"/>
            </w:tcBorders>
            <w:vAlign w:val="center"/>
          </w:tcPr>
          <w:p w14:paraId="431932DC">
            <w:pPr>
              <w:pageBreakBefore w:val="0"/>
              <w:kinsoku/>
              <w:wordWrap/>
              <w:overflowPunct/>
              <w:topLinePunct w:val="0"/>
              <w:autoSpaceDE/>
              <w:autoSpaceDN/>
              <w:bidi w:val="0"/>
              <w:adjustRightInd w:val="0"/>
              <w:snapToGrid w:val="0"/>
              <w:spacing w:beforeAutospacing="0" w:afterAutospacing="0" w:line="240" w:lineRule="auto"/>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0DE3D02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1848E61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881" w:type="dxa"/>
            <w:tcBorders>
              <w:top w:val="single" w:color="auto" w:sz="4" w:space="0"/>
              <w:left w:val="nil"/>
              <w:bottom w:val="single" w:color="auto" w:sz="4" w:space="0"/>
              <w:right w:val="single" w:color="auto" w:sz="4" w:space="0"/>
            </w:tcBorders>
            <w:vAlign w:val="center"/>
          </w:tcPr>
          <w:p w14:paraId="5CAFCB0E">
            <w:pPr>
              <w:spacing w:line="560" w:lineRule="exact"/>
              <w:jc w:val="center"/>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vAlign w:val="center"/>
          </w:tcPr>
          <w:p w14:paraId="5A715BC9">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77139C0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386E5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5EA8E2A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11</w:t>
            </w:r>
          </w:p>
        </w:tc>
        <w:tc>
          <w:tcPr>
            <w:tcW w:w="1557" w:type="dxa"/>
            <w:tcBorders>
              <w:top w:val="single" w:color="auto" w:sz="4" w:space="0"/>
              <w:left w:val="nil"/>
              <w:bottom w:val="single" w:color="auto" w:sz="4" w:space="0"/>
              <w:right w:val="single" w:color="auto" w:sz="4" w:space="0"/>
            </w:tcBorders>
            <w:vAlign w:val="center"/>
          </w:tcPr>
          <w:p w14:paraId="2463A25F">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5337F29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z w:val="21"/>
                <w:szCs w:val="21"/>
              </w:rPr>
              <w:t>(DN100带法兰)</w:t>
            </w:r>
          </w:p>
        </w:tc>
        <w:tc>
          <w:tcPr>
            <w:tcW w:w="7677" w:type="dxa"/>
            <w:vMerge w:val="continue"/>
            <w:tcBorders>
              <w:left w:val="nil"/>
              <w:right w:val="single" w:color="auto" w:sz="4" w:space="0"/>
            </w:tcBorders>
            <w:vAlign w:val="center"/>
          </w:tcPr>
          <w:p w14:paraId="21CA33F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6122F25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45B72D1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1</w:t>
            </w:r>
          </w:p>
        </w:tc>
        <w:tc>
          <w:tcPr>
            <w:tcW w:w="881" w:type="dxa"/>
            <w:tcBorders>
              <w:top w:val="single" w:color="auto" w:sz="4" w:space="0"/>
              <w:left w:val="nil"/>
              <w:bottom w:val="single" w:color="auto" w:sz="4" w:space="0"/>
              <w:right w:val="single" w:color="auto" w:sz="4" w:space="0"/>
            </w:tcBorders>
            <w:vAlign w:val="center"/>
          </w:tcPr>
          <w:p w14:paraId="7D7682B1">
            <w:pPr>
              <w:spacing w:line="560" w:lineRule="exact"/>
              <w:jc w:val="center"/>
              <w:rPr>
                <w:rFonts w:hint="eastAsia" w:ascii="宋体" w:hAnsi="宋体" w:eastAsia="宋体" w:cs="宋体"/>
                <w:color w:val="auto"/>
                <w:spacing w:val="6"/>
                <w:sz w:val="21"/>
                <w:szCs w:val="21"/>
                <w:lang w:val="en-US" w:eastAsia="zh-CN"/>
              </w:rPr>
            </w:pPr>
          </w:p>
        </w:tc>
        <w:tc>
          <w:tcPr>
            <w:tcW w:w="828" w:type="dxa"/>
            <w:tcBorders>
              <w:top w:val="single" w:color="auto" w:sz="4" w:space="0"/>
              <w:left w:val="nil"/>
              <w:bottom w:val="single" w:color="auto" w:sz="4" w:space="0"/>
              <w:right w:val="single" w:color="auto" w:sz="4" w:space="0"/>
            </w:tcBorders>
            <w:vAlign w:val="center"/>
          </w:tcPr>
          <w:p w14:paraId="0A333B0C">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012A834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66428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79646469">
            <w:pPr>
              <w:pageBreakBefore w:val="0"/>
              <w:kinsoku/>
              <w:wordWrap/>
              <w:overflowPunct/>
              <w:topLinePunct w:val="0"/>
              <w:autoSpaceDE/>
              <w:autoSpaceDN/>
              <w:bidi w:val="0"/>
              <w:adjustRightInd w:val="0"/>
              <w:snapToGrid w:val="0"/>
              <w:spacing w:beforeAutospacing="0" w:afterAutospacing="0" w:line="240" w:lineRule="auto"/>
              <w:jc w:val="center"/>
              <w:rPr>
                <w:rFonts w:hint="default" w:ascii="宋体" w:hAnsi="宋体" w:eastAsia="宋体" w:cs="宋体"/>
                <w:color w:val="auto"/>
                <w:spacing w:val="6"/>
                <w:sz w:val="21"/>
                <w:szCs w:val="21"/>
                <w:lang w:val="en-US" w:eastAsia="zh-CN"/>
              </w:rPr>
            </w:pPr>
            <w:r>
              <w:rPr>
                <w:rFonts w:hint="eastAsia" w:ascii="宋体" w:hAnsi="宋体" w:cs="宋体"/>
                <w:color w:val="auto"/>
                <w:spacing w:val="6"/>
                <w:sz w:val="21"/>
                <w:szCs w:val="21"/>
                <w:lang w:val="en-US" w:eastAsia="zh-CN"/>
              </w:rPr>
              <w:t>12</w:t>
            </w:r>
          </w:p>
        </w:tc>
        <w:tc>
          <w:tcPr>
            <w:tcW w:w="1557" w:type="dxa"/>
            <w:tcBorders>
              <w:top w:val="single" w:color="auto" w:sz="4" w:space="0"/>
              <w:left w:val="nil"/>
              <w:bottom w:val="single" w:color="auto" w:sz="4" w:space="0"/>
              <w:right w:val="single" w:color="auto" w:sz="4" w:space="0"/>
            </w:tcBorders>
            <w:vAlign w:val="center"/>
          </w:tcPr>
          <w:p w14:paraId="2840494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4</w:t>
            </w:r>
            <w:r>
              <w:rPr>
                <w:rFonts w:hint="eastAsia" w:ascii="宋体" w:hAnsi="宋体" w:eastAsia="宋体" w:cs="宋体"/>
                <w:color w:val="auto"/>
                <w:sz w:val="21"/>
                <w:szCs w:val="21"/>
              </w:rPr>
              <w:t>G远传水表</w:t>
            </w:r>
          </w:p>
          <w:p w14:paraId="09B0441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z w:val="21"/>
                <w:szCs w:val="21"/>
              </w:rPr>
              <w:t>(DN150)</w:t>
            </w:r>
          </w:p>
        </w:tc>
        <w:tc>
          <w:tcPr>
            <w:tcW w:w="7677" w:type="dxa"/>
            <w:vMerge w:val="continue"/>
            <w:tcBorders>
              <w:left w:val="nil"/>
              <w:bottom w:val="single" w:color="auto" w:sz="4" w:space="0"/>
              <w:right w:val="single" w:color="auto" w:sz="4" w:space="0"/>
            </w:tcBorders>
            <w:vAlign w:val="center"/>
          </w:tcPr>
          <w:p w14:paraId="7B41883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pacing w:val="6"/>
                <w:sz w:val="21"/>
                <w:szCs w:val="21"/>
              </w:rPr>
            </w:pPr>
          </w:p>
        </w:tc>
        <w:tc>
          <w:tcPr>
            <w:tcW w:w="691" w:type="dxa"/>
            <w:tcBorders>
              <w:top w:val="single" w:color="auto" w:sz="4" w:space="0"/>
              <w:left w:val="nil"/>
              <w:bottom w:val="single" w:color="auto" w:sz="4" w:space="0"/>
              <w:right w:val="single" w:color="auto" w:sz="4" w:space="0"/>
            </w:tcBorders>
            <w:vAlign w:val="center"/>
          </w:tcPr>
          <w:p w14:paraId="3F6EC94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76B14F2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1</w:t>
            </w:r>
          </w:p>
        </w:tc>
        <w:tc>
          <w:tcPr>
            <w:tcW w:w="881" w:type="dxa"/>
            <w:tcBorders>
              <w:top w:val="single" w:color="auto" w:sz="4" w:space="0"/>
              <w:left w:val="nil"/>
              <w:bottom w:val="single" w:color="auto" w:sz="4" w:space="0"/>
              <w:right w:val="single" w:color="auto" w:sz="4" w:space="0"/>
            </w:tcBorders>
            <w:vAlign w:val="center"/>
          </w:tcPr>
          <w:p w14:paraId="49ED1533">
            <w:pPr>
              <w:spacing w:line="560" w:lineRule="exact"/>
              <w:jc w:val="center"/>
              <w:rPr>
                <w:rFonts w:hint="eastAsia" w:ascii="宋体" w:hAnsi="宋体" w:eastAsia="宋体" w:cs="宋体"/>
                <w:color w:val="auto"/>
                <w:spacing w:val="6"/>
                <w:sz w:val="21"/>
                <w:szCs w:val="21"/>
                <w:lang w:val="en-US" w:eastAsia="zh-CN"/>
              </w:rPr>
            </w:pPr>
          </w:p>
        </w:tc>
        <w:tc>
          <w:tcPr>
            <w:tcW w:w="828" w:type="dxa"/>
            <w:tcBorders>
              <w:top w:val="single" w:color="auto" w:sz="4" w:space="0"/>
              <w:left w:val="nil"/>
              <w:bottom w:val="single" w:color="auto" w:sz="4" w:space="0"/>
              <w:right w:val="single" w:color="auto" w:sz="4" w:space="0"/>
            </w:tcBorders>
            <w:vAlign w:val="center"/>
          </w:tcPr>
          <w:p w14:paraId="4B5F1F19">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45F504D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13A76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376" w:type="dxa"/>
            <w:gridSpan w:val="2"/>
            <w:tcBorders>
              <w:top w:val="single" w:color="auto" w:sz="4" w:space="0"/>
              <w:left w:val="single" w:color="auto" w:sz="4" w:space="0"/>
              <w:bottom w:val="single" w:color="auto" w:sz="4" w:space="0"/>
              <w:right w:val="single" w:color="auto" w:sz="4" w:space="0"/>
            </w:tcBorders>
            <w:vAlign w:val="center"/>
          </w:tcPr>
          <w:p w14:paraId="5B56F5F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kern w:val="0"/>
                <w:sz w:val="21"/>
                <w:szCs w:val="21"/>
                <w:lang w:bidi="ar"/>
              </w:rPr>
              <w:t>合计</w:t>
            </w:r>
          </w:p>
        </w:tc>
        <w:tc>
          <w:tcPr>
            <w:tcW w:w="11768" w:type="dxa"/>
            <w:gridSpan w:val="6"/>
            <w:tcBorders>
              <w:top w:val="single" w:color="auto" w:sz="4" w:space="0"/>
              <w:left w:val="nil"/>
              <w:bottom w:val="single" w:color="auto" w:sz="4" w:space="0"/>
              <w:right w:val="single" w:color="auto" w:sz="4" w:space="0"/>
            </w:tcBorders>
            <w:vAlign w:val="center"/>
          </w:tcPr>
          <w:p w14:paraId="708CD16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p>
        </w:tc>
      </w:tr>
    </w:tbl>
    <w:p w14:paraId="60A87C99">
      <w:pPr>
        <w:pageBreakBefore w:val="0"/>
        <w:kinsoku/>
        <w:wordWrap/>
        <w:overflowPunct/>
        <w:topLinePunct w:val="0"/>
        <w:autoSpaceDE/>
        <w:autoSpaceDN/>
        <w:bidi w:val="0"/>
        <w:adjustRightInd w:val="0"/>
        <w:snapToGrid w:val="0"/>
        <w:spacing w:beforeAutospacing="0" w:afterAutospacing="0" w:line="360" w:lineRule="auto"/>
        <w:rPr>
          <w:rFonts w:ascii="Calibri" w:hAnsi="Calibri" w:eastAsia="微软雅黑" w:cs="Times New Roman"/>
          <w:color w:val="auto"/>
          <w:sz w:val="24"/>
        </w:rPr>
      </w:pPr>
    </w:p>
    <w:p w14:paraId="459D328E">
      <w:pPr>
        <w:pageBreakBefore w:val="0"/>
        <w:numPr>
          <w:ilvl w:val="0"/>
          <w:numId w:val="0"/>
        </w:numPr>
        <w:kinsoku/>
        <w:wordWrap/>
        <w:overflowPunct/>
        <w:topLinePunct w:val="0"/>
        <w:autoSpaceDE/>
        <w:autoSpaceDN/>
        <w:bidi w:val="0"/>
        <w:adjustRightInd w:val="0"/>
        <w:snapToGrid w:val="0"/>
        <w:spacing w:beforeAutospacing="0" w:afterAutospacing="0" w:line="360" w:lineRule="auto"/>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2、文港路校区</w:t>
      </w:r>
    </w:p>
    <w:tbl>
      <w:tblPr>
        <w:tblStyle w:val="9"/>
        <w:tblW w:w="141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557"/>
        <w:gridCol w:w="7677"/>
        <w:gridCol w:w="691"/>
        <w:gridCol w:w="673"/>
        <w:gridCol w:w="881"/>
        <w:gridCol w:w="828"/>
        <w:gridCol w:w="1018"/>
      </w:tblGrid>
      <w:tr w14:paraId="39543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19" w:type="dxa"/>
            <w:tcBorders>
              <w:top w:val="single" w:color="auto" w:sz="4" w:space="0"/>
              <w:left w:val="single" w:color="auto" w:sz="4" w:space="0"/>
              <w:bottom w:val="single" w:color="auto" w:sz="4" w:space="0"/>
              <w:right w:val="single" w:color="auto" w:sz="4" w:space="0"/>
            </w:tcBorders>
            <w:vAlign w:val="center"/>
          </w:tcPr>
          <w:p w14:paraId="0ECB18B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序号</w:t>
            </w:r>
          </w:p>
        </w:tc>
        <w:tc>
          <w:tcPr>
            <w:tcW w:w="1557" w:type="dxa"/>
            <w:tcBorders>
              <w:top w:val="single" w:color="auto" w:sz="4" w:space="0"/>
              <w:left w:val="nil"/>
              <w:bottom w:val="single" w:color="auto" w:sz="4" w:space="0"/>
              <w:right w:val="single" w:color="auto" w:sz="4" w:space="0"/>
            </w:tcBorders>
            <w:vAlign w:val="center"/>
          </w:tcPr>
          <w:p w14:paraId="4A6B4C6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产品名称</w:t>
            </w:r>
          </w:p>
        </w:tc>
        <w:tc>
          <w:tcPr>
            <w:tcW w:w="7677" w:type="dxa"/>
            <w:tcBorders>
              <w:top w:val="single" w:color="auto" w:sz="4" w:space="0"/>
              <w:left w:val="nil"/>
              <w:bottom w:val="single" w:color="auto" w:sz="4" w:space="0"/>
              <w:right w:val="single" w:color="auto" w:sz="4" w:space="0"/>
            </w:tcBorders>
            <w:vAlign w:val="center"/>
          </w:tcPr>
          <w:p w14:paraId="28F5B7A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规格型号</w:t>
            </w:r>
          </w:p>
        </w:tc>
        <w:tc>
          <w:tcPr>
            <w:tcW w:w="691" w:type="dxa"/>
            <w:tcBorders>
              <w:top w:val="single" w:color="auto" w:sz="4" w:space="0"/>
              <w:left w:val="nil"/>
              <w:bottom w:val="single" w:color="auto" w:sz="4" w:space="0"/>
              <w:right w:val="single" w:color="auto" w:sz="4" w:space="0"/>
            </w:tcBorders>
            <w:vAlign w:val="center"/>
          </w:tcPr>
          <w:p w14:paraId="49B9C9A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单位</w:t>
            </w:r>
          </w:p>
        </w:tc>
        <w:tc>
          <w:tcPr>
            <w:tcW w:w="673" w:type="dxa"/>
            <w:tcBorders>
              <w:top w:val="single" w:color="auto" w:sz="4" w:space="0"/>
              <w:left w:val="nil"/>
              <w:bottom w:val="single" w:color="auto" w:sz="4" w:space="0"/>
              <w:right w:val="single" w:color="auto" w:sz="4" w:space="0"/>
            </w:tcBorders>
            <w:vAlign w:val="center"/>
          </w:tcPr>
          <w:p w14:paraId="54B48100">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数量</w:t>
            </w:r>
          </w:p>
        </w:tc>
        <w:tc>
          <w:tcPr>
            <w:tcW w:w="881" w:type="dxa"/>
            <w:tcBorders>
              <w:top w:val="single" w:color="auto" w:sz="4" w:space="0"/>
              <w:left w:val="nil"/>
              <w:bottom w:val="single" w:color="auto" w:sz="4" w:space="0"/>
              <w:right w:val="single" w:color="auto" w:sz="4" w:space="0"/>
            </w:tcBorders>
            <w:vAlign w:val="center"/>
          </w:tcPr>
          <w:p w14:paraId="3D749F8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单价</w:t>
            </w:r>
            <w:r>
              <w:rPr>
                <w:rFonts w:hint="eastAsia" w:ascii="宋体" w:hAnsi="宋体" w:eastAsia="宋体" w:cs="宋体"/>
                <w:b/>
                <w:bCs/>
                <w:color w:val="auto"/>
                <w:spacing w:val="6"/>
                <w:sz w:val="21"/>
                <w:szCs w:val="21"/>
                <w:lang w:eastAsia="zh-CN"/>
              </w:rPr>
              <w:t>（</w:t>
            </w:r>
            <w:r>
              <w:rPr>
                <w:rFonts w:hint="eastAsia" w:ascii="宋体" w:hAnsi="宋体" w:eastAsia="宋体" w:cs="宋体"/>
                <w:b/>
                <w:bCs/>
                <w:color w:val="auto"/>
                <w:spacing w:val="6"/>
                <w:sz w:val="21"/>
                <w:szCs w:val="21"/>
                <w:lang w:val="en-US" w:eastAsia="zh-CN"/>
              </w:rPr>
              <w:t>元</w:t>
            </w:r>
            <w:r>
              <w:rPr>
                <w:rFonts w:hint="eastAsia" w:ascii="宋体" w:hAnsi="宋体" w:eastAsia="宋体" w:cs="宋体"/>
                <w:b/>
                <w:bCs/>
                <w:color w:val="auto"/>
                <w:spacing w:val="6"/>
                <w:sz w:val="21"/>
                <w:szCs w:val="21"/>
                <w:lang w:eastAsia="zh-CN"/>
              </w:rPr>
              <w:t>）</w:t>
            </w:r>
          </w:p>
        </w:tc>
        <w:tc>
          <w:tcPr>
            <w:tcW w:w="828" w:type="dxa"/>
            <w:tcBorders>
              <w:top w:val="single" w:color="auto" w:sz="4" w:space="0"/>
              <w:left w:val="nil"/>
              <w:bottom w:val="single" w:color="auto" w:sz="4" w:space="0"/>
              <w:right w:val="single" w:color="auto" w:sz="4" w:space="0"/>
            </w:tcBorders>
            <w:vAlign w:val="center"/>
          </w:tcPr>
          <w:p w14:paraId="71FC8DC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合价</w:t>
            </w:r>
            <w:r>
              <w:rPr>
                <w:rFonts w:hint="eastAsia" w:ascii="宋体" w:hAnsi="宋体" w:eastAsia="宋体" w:cs="宋体"/>
                <w:b/>
                <w:bCs/>
                <w:color w:val="auto"/>
                <w:spacing w:val="6"/>
                <w:sz w:val="21"/>
                <w:szCs w:val="21"/>
                <w:lang w:eastAsia="zh-CN"/>
              </w:rPr>
              <w:t>（</w:t>
            </w:r>
            <w:r>
              <w:rPr>
                <w:rFonts w:hint="eastAsia" w:ascii="宋体" w:hAnsi="宋体" w:eastAsia="宋体" w:cs="宋体"/>
                <w:b/>
                <w:bCs/>
                <w:color w:val="auto"/>
                <w:spacing w:val="6"/>
                <w:sz w:val="21"/>
                <w:szCs w:val="21"/>
                <w:lang w:val="en-US" w:eastAsia="zh-CN"/>
              </w:rPr>
              <w:t>元</w:t>
            </w:r>
            <w:r>
              <w:rPr>
                <w:rFonts w:hint="eastAsia" w:ascii="宋体" w:hAnsi="宋体" w:eastAsia="宋体" w:cs="宋体"/>
                <w:b/>
                <w:bCs/>
                <w:color w:val="auto"/>
                <w:spacing w:val="6"/>
                <w:sz w:val="21"/>
                <w:szCs w:val="21"/>
                <w:lang w:eastAsia="zh-CN"/>
              </w:rPr>
              <w:t>）</w:t>
            </w:r>
          </w:p>
        </w:tc>
        <w:tc>
          <w:tcPr>
            <w:tcW w:w="1018" w:type="dxa"/>
            <w:tcBorders>
              <w:top w:val="single" w:color="auto" w:sz="4" w:space="0"/>
              <w:left w:val="nil"/>
              <w:bottom w:val="single" w:color="auto" w:sz="4" w:space="0"/>
              <w:right w:val="single" w:color="auto" w:sz="4" w:space="0"/>
            </w:tcBorders>
            <w:vAlign w:val="center"/>
          </w:tcPr>
          <w:p w14:paraId="67CF082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b/>
                <w:bCs/>
                <w:color w:val="auto"/>
                <w:spacing w:val="6"/>
                <w:sz w:val="21"/>
                <w:szCs w:val="21"/>
              </w:rPr>
            </w:pPr>
            <w:r>
              <w:rPr>
                <w:rFonts w:hint="eastAsia" w:ascii="宋体" w:hAnsi="宋体" w:eastAsia="宋体" w:cs="宋体"/>
                <w:b/>
                <w:bCs/>
                <w:color w:val="auto"/>
                <w:spacing w:val="6"/>
                <w:sz w:val="21"/>
                <w:szCs w:val="21"/>
              </w:rPr>
              <w:t>备注</w:t>
            </w:r>
          </w:p>
        </w:tc>
      </w:tr>
      <w:tr w14:paraId="009E6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shd w:val="clear" w:color="auto" w:fill="auto"/>
            <w:vAlign w:val="center"/>
          </w:tcPr>
          <w:p w14:paraId="0BBD999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rPr>
              <w:t>1</w:t>
            </w:r>
          </w:p>
        </w:tc>
        <w:tc>
          <w:tcPr>
            <w:tcW w:w="1557" w:type="dxa"/>
            <w:tcBorders>
              <w:top w:val="single" w:color="auto" w:sz="4" w:space="0"/>
              <w:left w:val="nil"/>
              <w:bottom w:val="single" w:color="auto" w:sz="4" w:space="0"/>
              <w:right w:val="single" w:color="auto" w:sz="4" w:space="0"/>
            </w:tcBorders>
            <w:shd w:val="clear" w:color="auto" w:fill="auto"/>
            <w:vAlign w:val="center"/>
          </w:tcPr>
          <w:p w14:paraId="5C88F98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水</w:t>
            </w:r>
            <w:r>
              <w:rPr>
                <w:rFonts w:hint="eastAsia" w:ascii="宋体" w:hAnsi="宋体" w:eastAsia="宋体" w:cs="宋体"/>
                <w:color w:val="auto"/>
                <w:spacing w:val="6"/>
                <w:sz w:val="21"/>
                <w:szCs w:val="21"/>
                <w:lang w:val="en-US" w:eastAsia="zh-CN"/>
              </w:rPr>
              <w:t>电</w:t>
            </w:r>
            <w:r>
              <w:rPr>
                <w:rFonts w:hint="eastAsia" w:ascii="宋体" w:hAnsi="宋体" w:eastAsia="宋体" w:cs="宋体"/>
                <w:color w:val="auto"/>
                <w:spacing w:val="6"/>
                <w:sz w:val="21"/>
                <w:szCs w:val="21"/>
              </w:rPr>
              <w:t>能源计量节能监管系统软件</w:t>
            </w:r>
          </w:p>
        </w:tc>
        <w:tc>
          <w:tcPr>
            <w:tcW w:w="7677" w:type="dxa"/>
            <w:tcBorders>
              <w:top w:val="single" w:color="auto" w:sz="4" w:space="0"/>
              <w:left w:val="nil"/>
              <w:bottom w:val="single" w:color="auto" w:sz="4" w:space="0"/>
              <w:right w:val="single" w:color="auto" w:sz="4" w:space="0"/>
            </w:tcBorders>
            <w:shd w:val="clear" w:color="auto" w:fill="auto"/>
            <w:vAlign w:val="center"/>
          </w:tcPr>
          <w:p w14:paraId="7D237180">
            <w:pPr>
              <w:jc w:val="left"/>
              <w:rPr>
                <w:rFonts w:hint="eastAsia"/>
              </w:rPr>
            </w:pPr>
            <w:r>
              <w:rPr>
                <w:rFonts w:hint="eastAsia"/>
              </w:rPr>
              <w:t>1、软件采用 B/S 架构，前后端分离，完美支持二次开发，支持云端部署。</w:t>
            </w:r>
          </w:p>
          <w:p w14:paraId="7D0F946D">
            <w:pPr>
              <w:jc w:val="left"/>
              <w:rPr>
                <w:rFonts w:hint="eastAsia"/>
              </w:rPr>
            </w:pPr>
            <w:r>
              <w:rPr>
                <w:rFonts w:hint="eastAsia"/>
              </w:rPr>
              <w:t>2、物联网远程采集水、电、气、热分类能源资源数据，采集周期可设。</w:t>
            </w:r>
          </w:p>
          <w:p w14:paraId="26FFC0E3">
            <w:pPr>
              <w:jc w:val="left"/>
              <w:rPr>
                <w:rFonts w:hint="eastAsia"/>
              </w:rPr>
            </w:pPr>
            <w:r>
              <w:rPr>
                <w:rFonts w:hint="eastAsia"/>
              </w:rPr>
              <w:t>3、远程采集温度、湿度、空气质量及有害气体数据，实现环境在线监测。</w:t>
            </w:r>
          </w:p>
          <w:p w14:paraId="3F895983">
            <w:pPr>
              <w:jc w:val="left"/>
              <w:rPr>
                <w:rFonts w:hint="eastAsia"/>
              </w:rPr>
            </w:pPr>
            <w:r>
              <w:rPr>
                <w:rFonts w:hint="eastAsia"/>
              </w:rPr>
              <w:t>4、对能源数据进行分类、分项（空调、动力、照明插座、特殊用电）统计、实时数据监测、报表导出打印。</w:t>
            </w:r>
          </w:p>
          <w:p w14:paraId="7A698679">
            <w:pPr>
              <w:jc w:val="left"/>
              <w:rPr>
                <w:rFonts w:hint="eastAsia"/>
              </w:rPr>
            </w:pPr>
            <w:r>
              <w:rPr>
                <w:rFonts w:hint="eastAsia"/>
              </w:rPr>
              <w:t>5、设备状态监测，重点设备监测，通讯网络监测，导入控制策略，可实现设备节能模式运行。</w:t>
            </w:r>
          </w:p>
          <w:p w14:paraId="1AF4C37C">
            <w:pPr>
              <w:jc w:val="left"/>
              <w:rPr>
                <w:rFonts w:hint="eastAsia"/>
              </w:rPr>
            </w:pPr>
            <w:r>
              <w:t>6</w:t>
            </w:r>
            <w:r>
              <w:rPr>
                <w:rFonts w:hint="eastAsia"/>
              </w:rPr>
              <w:t>、AI 智能分析，数据模型建立，能耗趋势预测，阈值超标警示，运行故障报警，数据异常报警。</w:t>
            </w:r>
          </w:p>
          <w:p w14:paraId="0DE9D0F6">
            <w:pPr>
              <w:jc w:val="left"/>
              <w:rPr>
                <w:rFonts w:hint="eastAsia"/>
              </w:rPr>
            </w:pPr>
            <w:r>
              <w:rPr>
                <w:rFonts w:hint="eastAsia"/>
              </w:rPr>
              <w:t>7、单位面积能耗、单位产量能耗、标杆能耗设定。</w:t>
            </w:r>
          </w:p>
          <w:p w14:paraId="77A587CA">
            <w:pPr>
              <w:jc w:val="left"/>
              <w:rPr>
                <w:rFonts w:hint="eastAsia"/>
              </w:rPr>
            </w:pPr>
            <w:r>
              <w:rPr>
                <w:rFonts w:hint="eastAsia"/>
              </w:rPr>
              <w:t>8、对数据进行同比环比、排名对比分析、综合能源审计。</w:t>
            </w:r>
          </w:p>
          <w:p w14:paraId="5F748387">
            <w:pPr>
              <w:jc w:val="left"/>
              <w:rPr>
                <w:rFonts w:hint="eastAsia"/>
              </w:rPr>
            </w:pPr>
            <w:r>
              <w:rPr>
                <w:rFonts w:hint="eastAsia"/>
              </w:rPr>
              <w:t>9、对能耗数据进行柱图、线图、饼图等各种形式对比显示、系统实时状态展示，实现数据可视化运行。</w:t>
            </w:r>
          </w:p>
          <w:p w14:paraId="78875FE4">
            <w:pPr>
              <w:jc w:val="left"/>
              <w:rPr>
                <w:rFonts w:hint="eastAsia"/>
              </w:rPr>
            </w:pPr>
            <w:r>
              <w:rPr>
                <w:rFonts w:hint="eastAsia"/>
              </w:rPr>
              <w:t>9、数据存储、备份，支持远程异地备份。</w:t>
            </w:r>
          </w:p>
          <w:p w14:paraId="34377C1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pacing w:val="6"/>
                <w:sz w:val="21"/>
                <w:szCs w:val="21"/>
                <w:lang w:val="en-US" w:eastAsia="zh-CN"/>
              </w:rPr>
            </w:pPr>
            <w:r>
              <w:rPr>
                <w:rFonts w:hint="eastAsia"/>
              </w:rPr>
              <w:t>1</w:t>
            </w:r>
            <w:r>
              <w:t>0</w:t>
            </w:r>
            <w:r>
              <w:rPr>
                <w:rFonts w:hint="eastAsia"/>
              </w:rPr>
              <w:t>、标准第三方应用 API 接口、上传至省市级平台。</w:t>
            </w:r>
          </w:p>
        </w:tc>
        <w:tc>
          <w:tcPr>
            <w:tcW w:w="691" w:type="dxa"/>
            <w:tcBorders>
              <w:top w:val="single" w:color="auto" w:sz="4" w:space="0"/>
              <w:left w:val="nil"/>
              <w:bottom w:val="single" w:color="auto" w:sz="4" w:space="0"/>
              <w:right w:val="single" w:color="auto" w:sz="4" w:space="0"/>
            </w:tcBorders>
            <w:shd w:val="clear" w:color="auto" w:fill="auto"/>
            <w:vAlign w:val="center"/>
          </w:tcPr>
          <w:p w14:paraId="641AAD4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台</w:t>
            </w:r>
          </w:p>
        </w:tc>
        <w:tc>
          <w:tcPr>
            <w:tcW w:w="673" w:type="dxa"/>
            <w:tcBorders>
              <w:top w:val="single" w:color="auto" w:sz="4" w:space="0"/>
              <w:left w:val="nil"/>
              <w:bottom w:val="single" w:color="auto" w:sz="4" w:space="0"/>
              <w:right w:val="single" w:color="auto" w:sz="4" w:space="0"/>
            </w:tcBorders>
            <w:shd w:val="clear" w:color="auto" w:fill="auto"/>
            <w:vAlign w:val="center"/>
          </w:tcPr>
          <w:p w14:paraId="1B05354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rPr>
              <w:t>1</w:t>
            </w:r>
          </w:p>
        </w:tc>
        <w:tc>
          <w:tcPr>
            <w:tcW w:w="881" w:type="dxa"/>
            <w:tcBorders>
              <w:top w:val="single" w:color="auto" w:sz="4" w:space="0"/>
              <w:left w:val="nil"/>
              <w:bottom w:val="single" w:color="auto" w:sz="4" w:space="0"/>
              <w:right w:val="single" w:color="auto" w:sz="4" w:space="0"/>
            </w:tcBorders>
            <w:shd w:val="clear" w:color="auto" w:fill="auto"/>
            <w:vAlign w:val="center"/>
          </w:tcPr>
          <w:p w14:paraId="0CBEE51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p>
        </w:tc>
        <w:tc>
          <w:tcPr>
            <w:tcW w:w="828" w:type="dxa"/>
            <w:tcBorders>
              <w:top w:val="single" w:color="auto" w:sz="4" w:space="0"/>
              <w:left w:val="nil"/>
              <w:bottom w:val="single" w:color="auto" w:sz="4" w:space="0"/>
              <w:right w:val="single" w:color="auto" w:sz="4" w:space="0"/>
            </w:tcBorders>
            <w:shd w:val="clear" w:color="auto" w:fill="auto"/>
            <w:vAlign w:val="center"/>
          </w:tcPr>
          <w:p w14:paraId="4344F6C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p>
        </w:tc>
        <w:tc>
          <w:tcPr>
            <w:tcW w:w="1018" w:type="dxa"/>
            <w:tcBorders>
              <w:top w:val="single" w:color="auto" w:sz="4" w:space="0"/>
              <w:left w:val="nil"/>
              <w:bottom w:val="single" w:color="auto" w:sz="4" w:space="0"/>
              <w:right w:val="single" w:color="auto" w:sz="4" w:space="0"/>
            </w:tcBorders>
            <w:vAlign w:val="center"/>
          </w:tcPr>
          <w:p w14:paraId="3F10372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4F4E7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4922D81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eastAsia="zh-CN"/>
              </w:rPr>
            </w:pPr>
            <w:r>
              <w:rPr>
                <w:rFonts w:hint="eastAsia" w:ascii="宋体" w:hAnsi="宋体" w:cs="宋体"/>
                <w:color w:val="auto"/>
                <w:spacing w:val="6"/>
                <w:sz w:val="21"/>
                <w:szCs w:val="21"/>
                <w:lang w:val="en-US" w:eastAsia="zh-CN"/>
              </w:rPr>
              <w:t>2</w:t>
            </w:r>
          </w:p>
        </w:tc>
        <w:tc>
          <w:tcPr>
            <w:tcW w:w="1557" w:type="dxa"/>
            <w:tcBorders>
              <w:top w:val="single" w:color="auto" w:sz="4" w:space="0"/>
              <w:left w:val="nil"/>
              <w:bottom w:val="single" w:color="auto" w:sz="4" w:space="0"/>
              <w:right w:val="single" w:color="auto" w:sz="4" w:space="0"/>
            </w:tcBorders>
            <w:vAlign w:val="center"/>
          </w:tcPr>
          <w:p w14:paraId="690C25C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4G三相远程电能表</w:t>
            </w:r>
          </w:p>
        </w:tc>
        <w:tc>
          <w:tcPr>
            <w:tcW w:w="7677" w:type="dxa"/>
            <w:tcBorders>
              <w:top w:val="single" w:color="auto" w:sz="4" w:space="0"/>
              <w:left w:val="nil"/>
              <w:bottom w:val="single" w:color="auto" w:sz="4" w:space="0"/>
              <w:right w:val="single" w:color="auto" w:sz="4" w:space="0"/>
            </w:tcBorders>
            <w:shd w:val="clear" w:color="auto" w:fill="auto"/>
            <w:vAlign w:val="center"/>
          </w:tcPr>
          <w:p w14:paraId="755A8D4C">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1、型号规格： 3×220/380V  0.015-0.075(6)A、 0.05-0.25(60)A、0.1-0.5(100)A</w:t>
            </w:r>
          </w:p>
          <w:p w14:paraId="2CE071DD">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2、准确度等级/最大允许误差：有功C级</w:t>
            </w:r>
          </w:p>
          <w:p w14:paraId="7B41C00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3、电表符合DL/T 1485-2015《三相智能电能表技术规范》、DL/T 1489-2015《三相智能电能表型式规范》、DL/T 1490-2015《智能电能表功能规范》、GB/T 17215.321-2021《电测量设备(交流)特殊要求第21部分：静止式有功电能表(A 级、B级、C级、D级和E级)》，GB/T 17215.211-2021《电测量设备(交流)通用要求、试验和试验条件第11部分：测量 设备》，DL/T614-2007《多功能电能表》，《三相四线费控智能电能表测试大纲》</w:t>
            </w:r>
          </w:p>
          <w:p w14:paraId="4DDCDE6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4、电表在70℃的高温试验下，持续保持2h，电表能正常工作。</w:t>
            </w:r>
          </w:p>
          <w:p w14:paraId="55717011">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5、电表在-40℃的低温试验下，持续保持2h，电表能正常工作。电表有功功耗≤0.25W，视在功耗≤1VA</w:t>
            </w:r>
          </w:p>
          <w:p w14:paraId="51F739A2">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6、电表在参比温度下，仪表内部时钟准确度应优于±0.5 s/24 h。</w:t>
            </w:r>
          </w:p>
          <w:p w14:paraId="4C7FAC7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7、电表在仪表额定温度范围内，内部时钟准确度应优于±1 s/24 h。</w:t>
            </w:r>
          </w:p>
          <w:p w14:paraId="3EB180B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8、电表安装尺寸为290mm±1mm(高)×170mm± 1mm(宽)×85mm±1mm(厚)</w:t>
            </w:r>
          </w:p>
          <w:p w14:paraId="53BDDAF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9、电表可计量总及各费率的正向、反向、 组合有功的电量，有功组合方式可  设 置 ；</w:t>
            </w:r>
          </w:p>
          <w:p w14:paraId="56967625">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电表可计量总及各费率的四象限无功和  组合无功I/II的电量，组合无功方式 可设置 ；</w:t>
            </w:r>
          </w:p>
          <w:p w14:paraId="120F3B7A">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电表可计量A、B、C三相的正反向有功 和四象限无功总电量；</w:t>
            </w:r>
          </w:p>
          <w:p w14:paraId="28D94FF0">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10、电表可存储当前及上12个结算日的电量  数据；数据转存时间默认为月初0时 (月末24时),用户可根据实际需求设置其它(1~28日)任意时刻。</w:t>
            </w:r>
          </w:p>
          <w:p w14:paraId="36D2D3B8">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11、电表实时测量A、B、C各相的电压、电流、相角、视在功率、有功功率、 无功功率、功率因數及电网频率，并且显示功率的方向。</w:t>
            </w:r>
          </w:p>
          <w:p w14:paraId="5FAFE386">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12、越限监测功能：可对各相电压、电 流等参数设置阀值进行监视，通过监测该量值是否超出或低于预先设 定的限值，以事件方式进行记录。</w:t>
            </w:r>
          </w:p>
          <w:p w14:paraId="5FC0DF5B">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13、电表可记录总及各费率正、反向有功、四象限无功、组合无功最大需量及其发生时间；</w:t>
            </w:r>
          </w:p>
          <w:p w14:paraId="02D6F609">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14、电能表可支持四种费率(尖、峰、 平、谷)切换。电能具有两套时区表和两套日时段表方案，两套方案各自带有切换时间(年 月日时分),可通过预先设置切换时间实现两套费率方案的自动切换每套费率时段方案全年最大可设置14个时区，各个时区设置起始日期及使用的日时段表号。每天可以设置14个时段，各个时段设置起始时间及使用的费率。时段最小间隔为 15分钟(由上位机设置软件控制), 可跨越零点设置。</w:t>
            </w:r>
          </w:p>
          <w:p w14:paraId="7A56D493">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15、 电能具有节假日和周休日特殊费率时段功能。最大可设置254个节假日费率数据。</w:t>
            </w:r>
          </w:p>
          <w:p w14:paraId="720C5EF4">
            <w:pPr>
              <w:pageBreakBefore w:val="0"/>
              <w:kinsoku/>
              <w:wordWrap/>
              <w:overflowPunct/>
              <w:topLinePunct w:val="0"/>
              <w:autoSpaceDE/>
              <w:autoSpaceDN/>
              <w:bidi w:val="0"/>
              <w:adjustRightInd w:val="0"/>
              <w:snapToGrid w:val="0"/>
              <w:spacing w:beforeAutospacing="0" w:afterAutospacing="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16、仪表具有RS-48S通信接口和红外通信接口，支持DL/T645规约，可进行参数设置、数据采集等功能。通信可设置。具有可热插拔通讯无线模块接口。通信信道物理层相互独立，任意一条通信信道的损坏不影响其它信道正常工作。</w:t>
            </w:r>
          </w:p>
          <w:p w14:paraId="37F7DF2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17、电能具有LCD液品显示屏，可分自动循显和按键显示两种方式。按键显示时LCD启动背光灯，停电后，显示自动关闭，可通过按键方式唤醒显示。</w:t>
            </w:r>
          </w:p>
        </w:tc>
        <w:tc>
          <w:tcPr>
            <w:tcW w:w="691" w:type="dxa"/>
            <w:tcBorders>
              <w:top w:val="single" w:color="auto" w:sz="4" w:space="0"/>
              <w:left w:val="nil"/>
              <w:bottom w:val="single" w:color="auto" w:sz="4" w:space="0"/>
              <w:right w:val="single" w:color="auto" w:sz="4" w:space="0"/>
            </w:tcBorders>
            <w:vAlign w:val="center"/>
          </w:tcPr>
          <w:p w14:paraId="787AE0D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只</w:t>
            </w:r>
          </w:p>
        </w:tc>
        <w:tc>
          <w:tcPr>
            <w:tcW w:w="673" w:type="dxa"/>
            <w:tcBorders>
              <w:top w:val="single" w:color="auto" w:sz="4" w:space="0"/>
              <w:left w:val="nil"/>
              <w:bottom w:val="single" w:color="auto" w:sz="4" w:space="0"/>
              <w:right w:val="single" w:color="auto" w:sz="4" w:space="0"/>
            </w:tcBorders>
            <w:vAlign w:val="center"/>
          </w:tcPr>
          <w:p w14:paraId="68B5FB3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24</w:t>
            </w:r>
          </w:p>
        </w:tc>
        <w:tc>
          <w:tcPr>
            <w:tcW w:w="881" w:type="dxa"/>
            <w:tcBorders>
              <w:top w:val="single" w:color="auto" w:sz="4" w:space="0"/>
              <w:left w:val="nil"/>
              <w:bottom w:val="single" w:color="auto" w:sz="4" w:space="0"/>
              <w:right w:val="single" w:color="auto" w:sz="4" w:space="0"/>
            </w:tcBorders>
            <w:vAlign w:val="center"/>
          </w:tcPr>
          <w:p w14:paraId="38F40539">
            <w:pPr>
              <w:spacing w:line="560" w:lineRule="exact"/>
              <w:jc w:val="center"/>
              <w:rPr>
                <w:rFonts w:hint="eastAsia" w:ascii="宋体" w:hAnsi="宋体" w:eastAsia="宋体" w:cs="宋体"/>
                <w:color w:val="auto"/>
                <w:spacing w:val="6"/>
                <w:sz w:val="21"/>
                <w:szCs w:val="21"/>
                <w:lang w:val="en-US" w:eastAsia="zh-CN"/>
              </w:rPr>
            </w:pPr>
          </w:p>
        </w:tc>
        <w:tc>
          <w:tcPr>
            <w:tcW w:w="828" w:type="dxa"/>
            <w:tcBorders>
              <w:top w:val="single" w:color="auto" w:sz="4" w:space="0"/>
              <w:left w:val="nil"/>
              <w:bottom w:val="single" w:color="auto" w:sz="4" w:space="0"/>
              <w:right w:val="single" w:color="auto" w:sz="4" w:space="0"/>
            </w:tcBorders>
            <w:vAlign w:val="center"/>
          </w:tcPr>
          <w:p w14:paraId="105CC1AE">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6D6F6CB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140BA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056730C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cs="宋体"/>
                <w:color w:val="auto"/>
                <w:spacing w:val="6"/>
                <w:sz w:val="21"/>
                <w:szCs w:val="21"/>
                <w:lang w:val="en-US" w:eastAsia="zh-CN"/>
              </w:rPr>
              <w:t>3</w:t>
            </w:r>
          </w:p>
        </w:tc>
        <w:tc>
          <w:tcPr>
            <w:tcW w:w="1557" w:type="dxa"/>
            <w:tcBorders>
              <w:top w:val="single" w:color="auto" w:sz="4" w:space="0"/>
              <w:left w:val="nil"/>
              <w:bottom w:val="single" w:color="auto" w:sz="4" w:space="0"/>
              <w:right w:val="single" w:color="auto" w:sz="4" w:space="0"/>
            </w:tcBorders>
            <w:shd w:val="clear" w:color="auto" w:fill="auto"/>
            <w:vAlign w:val="center"/>
          </w:tcPr>
          <w:p w14:paraId="415A3C0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4G</w:t>
            </w:r>
            <w:r>
              <w:rPr>
                <w:rFonts w:hint="eastAsia" w:ascii="宋体" w:hAnsi="宋体" w:eastAsia="宋体" w:cs="宋体"/>
                <w:color w:val="auto"/>
                <w:spacing w:val="6"/>
                <w:sz w:val="21"/>
                <w:szCs w:val="21"/>
                <w:lang w:val="en-US" w:eastAsia="zh-CN"/>
              </w:rPr>
              <w:t>单</w:t>
            </w:r>
            <w:r>
              <w:rPr>
                <w:rFonts w:hint="eastAsia" w:ascii="宋体" w:hAnsi="宋体" w:eastAsia="宋体" w:cs="宋体"/>
                <w:color w:val="auto"/>
                <w:spacing w:val="6"/>
                <w:sz w:val="21"/>
                <w:szCs w:val="21"/>
              </w:rPr>
              <w:t>相远程电能表</w:t>
            </w:r>
          </w:p>
        </w:tc>
        <w:tc>
          <w:tcPr>
            <w:tcW w:w="7677" w:type="dxa"/>
            <w:tcBorders>
              <w:top w:val="single" w:color="auto" w:sz="4" w:space="0"/>
              <w:left w:val="nil"/>
              <w:bottom w:val="single" w:color="auto" w:sz="4" w:space="0"/>
              <w:right w:val="single" w:color="auto" w:sz="4" w:space="0"/>
            </w:tcBorders>
            <w:shd w:val="clear" w:color="auto" w:fill="auto"/>
            <w:vAlign w:val="center"/>
          </w:tcPr>
          <w:p w14:paraId="7BF2E5E4">
            <w:pPr>
              <w:pageBreakBefore w:val="0"/>
              <w:kinsoku/>
              <w:wordWrap/>
              <w:overflowPunct/>
              <w:topLinePunct w:val="0"/>
              <w:autoSpaceDE/>
              <w:autoSpaceDN/>
              <w:bidi w:val="0"/>
              <w:adjustRightInd w:val="0"/>
              <w:snapToGrid w:val="0"/>
              <w:spacing w:beforeAutospacing="0" w:afterAutospacing="0" w:line="240" w:lineRule="auto"/>
              <w:jc w:val="left"/>
              <w:rPr>
                <w:rFonts w:eastAsia="宋体" w:cs="Times New Roman"/>
                <w:color w:val="auto"/>
              </w:rPr>
            </w:pPr>
            <w:r>
              <w:rPr>
                <w:rFonts w:hint="eastAsia"/>
                <w:color w:val="auto"/>
              </w:rPr>
              <w:t>1</w:t>
            </w:r>
            <w:r>
              <w:rPr>
                <w:rFonts w:hint="eastAsia" w:ascii="宋体" w:hAnsi="宋体" w:cs="Times New Roman"/>
                <w:color w:val="auto"/>
              </w:rPr>
              <w:t xml:space="preserve">、型号规格： </w:t>
            </w:r>
            <w:r>
              <w:rPr>
                <w:rFonts w:hint="eastAsia"/>
                <w:color w:val="auto"/>
              </w:rPr>
              <w:t>3</w:t>
            </w:r>
            <w:r>
              <w:rPr>
                <w:rFonts w:hint="eastAsia" w:ascii="宋体" w:hAnsi="宋体" w:cs="Times New Roman"/>
                <w:color w:val="auto"/>
              </w:rPr>
              <w:t>×</w:t>
            </w:r>
            <w:r>
              <w:rPr>
                <w:rFonts w:hint="eastAsia"/>
                <w:color w:val="auto"/>
              </w:rPr>
              <w:t xml:space="preserve">220/380V </w:t>
            </w:r>
            <w:r>
              <w:rPr>
                <w:color w:val="auto"/>
              </w:rPr>
              <w:t xml:space="preserve"> </w:t>
            </w:r>
            <w:r>
              <w:rPr>
                <w:rFonts w:hint="eastAsia"/>
                <w:color w:val="auto"/>
              </w:rPr>
              <w:t>0.015-0.075(6)A</w:t>
            </w:r>
            <w:r>
              <w:rPr>
                <w:rFonts w:hint="eastAsia" w:ascii="宋体" w:hAnsi="宋体" w:cs="Times New Roman"/>
                <w:color w:val="auto"/>
              </w:rPr>
              <w:t>、</w:t>
            </w:r>
            <w:r>
              <w:rPr>
                <w:rFonts w:hint="eastAsia"/>
                <w:color w:val="auto"/>
              </w:rPr>
              <w:t>0.05-0.25(60)A</w:t>
            </w:r>
            <w:r>
              <w:rPr>
                <w:rFonts w:hint="eastAsia" w:ascii="宋体" w:hAnsi="宋体" w:cs="Times New Roman"/>
                <w:color w:val="auto"/>
              </w:rPr>
              <w:t>、</w:t>
            </w:r>
            <w:r>
              <w:rPr>
                <w:rFonts w:hint="eastAsia"/>
                <w:color w:val="auto"/>
              </w:rPr>
              <w:t>0.1-0.5(100)A</w:t>
            </w:r>
          </w:p>
          <w:p w14:paraId="5A4ADBF8">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2</w:t>
            </w:r>
            <w:r>
              <w:rPr>
                <w:rFonts w:hint="eastAsia" w:ascii="宋体" w:hAnsi="宋体" w:cs="Times New Roman"/>
                <w:color w:val="auto"/>
              </w:rPr>
              <w:t>、准确度等级</w:t>
            </w:r>
            <w:r>
              <w:rPr>
                <w:rFonts w:hint="eastAsia"/>
                <w:color w:val="auto"/>
              </w:rPr>
              <w:t>/</w:t>
            </w:r>
            <w:r>
              <w:rPr>
                <w:rFonts w:hint="eastAsia" w:ascii="宋体" w:hAnsi="宋体" w:cs="Times New Roman"/>
                <w:color w:val="auto"/>
              </w:rPr>
              <w:t>最大允许误差：有功</w:t>
            </w:r>
            <w:r>
              <w:rPr>
                <w:rFonts w:hint="eastAsia"/>
                <w:color w:val="auto"/>
              </w:rPr>
              <w:t>C</w:t>
            </w:r>
            <w:r>
              <w:rPr>
                <w:rFonts w:hint="eastAsia" w:ascii="宋体" w:hAnsi="宋体" w:cs="Times New Roman"/>
                <w:color w:val="auto"/>
              </w:rPr>
              <w:t>级</w:t>
            </w:r>
          </w:p>
          <w:p w14:paraId="5829AD32">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3</w:t>
            </w:r>
            <w:r>
              <w:rPr>
                <w:rFonts w:hint="eastAsia" w:ascii="宋体" w:hAnsi="宋体" w:cs="Times New Roman"/>
                <w:color w:val="auto"/>
              </w:rPr>
              <w:t>、电表符合</w:t>
            </w:r>
            <w:r>
              <w:rPr>
                <w:rFonts w:hint="eastAsia"/>
                <w:color w:val="auto"/>
              </w:rPr>
              <w:t>DL/T 1485-2015</w:t>
            </w:r>
            <w:r>
              <w:rPr>
                <w:rFonts w:hint="eastAsia" w:ascii="宋体" w:hAnsi="宋体" w:cs="Times New Roman"/>
                <w:color w:val="auto"/>
              </w:rPr>
              <w:t>《三相智能电能表技术规范》、</w:t>
            </w:r>
            <w:r>
              <w:rPr>
                <w:rFonts w:hint="eastAsia"/>
                <w:color w:val="auto"/>
              </w:rPr>
              <w:t>DL/T 1489-2015</w:t>
            </w:r>
            <w:r>
              <w:rPr>
                <w:rFonts w:hint="eastAsia" w:ascii="宋体" w:hAnsi="宋体" w:cs="Times New Roman"/>
                <w:color w:val="auto"/>
              </w:rPr>
              <w:t>《三相智能电能表型式规范》、</w:t>
            </w:r>
            <w:r>
              <w:rPr>
                <w:rFonts w:hint="eastAsia"/>
                <w:color w:val="auto"/>
              </w:rPr>
              <w:t>DL/T 1490-2015</w:t>
            </w:r>
            <w:r>
              <w:rPr>
                <w:rFonts w:hint="eastAsia" w:ascii="宋体" w:hAnsi="宋体" w:cs="Times New Roman"/>
                <w:color w:val="auto"/>
              </w:rPr>
              <w:t>《智能电能表功能规范》、</w:t>
            </w:r>
            <w:r>
              <w:rPr>
                <w:rFonts w:hint="eastAsia"/>
                <w:color w:val="auto"/>
              </w:rPr>
              <w:t>GB/T 17215.321-2021</w:t>
            </w:r>
            <w:r>
              <w:rPr>
                <w:rFonts w:hint="eastAsia" w:ascii="宋体" w:hAnsi="宋体" w:cs="Times New Roman"/>
                <w:color w:val="auto"/>
              </w:rPr>
              <w:t>《电测量设备</w:t>
            </w:r>
            <w:r>
              <w:rPr>
                <w:rFonts w:hint="eastAsia"/>
                <w:color w:val="auto"/>
              </w:rPr>
              <w:t>(</w:t>
            </w:r>
            <w:r>
              <w:rPr>
                <w:rFonts w:hint="eastAsia" w:ascii="宋体" w:hAnsi="宋体" w:cs="Times New Roman"/>
                <w:color w:val="auto"/>
              </w:rPr>
              <w:t>交流</w:t>
            </w:r>
            <w:r>
              <w:rPr>
                <w:rFonts w:hint="eastAsia"/>
                <w:color w:val="auto"/>
              </w:rPr>
              <w:t>)</w:t>
            </w:r>
            <w:r>
              <w:rPr>
                <w:rFonts w:hint="eastAsia" w:ascii="宋体" w:hAnsi="宋体" w:cs="Times New Roman"/>
                <w:color w:val="auto"/>
              </w:rPr>
              <w:t>特殊要求第</w:t>
            </w:r>
            <w:r>
              <w:rPr>
                <w:rFonts w:hint="eastAsia"/>
                <w:color w:val="auto"/>
              </w:rPr>
              <w:t>21</w:t>
            </w:r>
            <w:r>
              <w:rPr>
                <w:rFonts w:hint="eastAsia" w:ascii="宋体" w:hAnsi="宋体" w:cs="Times New Roman"/>
                <w:color w:val="auto"/>
              </w:rPr>
              <w:t>部分：静止式有功电能表</w:t>
            </w:r>
            <w:r>
              <w:rPr>
                <w:rFonts w:hint="eastAsia"/>
                <w:color w:val="auto"/>
              </w:rPr>
              <w:t xml:space="preserve">(A </w:t>
            </w:r>
            <w:r>
              <w:rPr>
                <w:rFonts w:hint="eastAsia" w:ascii="宋体" w:hAnsi="宋体" w:cs="Times New Roman"/>
                <w:color w:val="auto"/>
              </w:rPr>
              <w:t>级、</w:t>
            </w:r>
            <w:r>
              <w:rPr>
                <w:rFonts w:hint="eastAsia"/>
                <w:color w:val="auto"/>
              </w:rPr>
              <w:t>B</w:t>
            </w:r>
            <w:r>
              <w:rPr>
                <w:rFonts w:hint="eastAsia" w:ascii="宋体" w:hAnsi="宋体" w:cs="Times New Roman"/>
                <w:color w:val="auto"/>
              </w:rPr>
              <w:t>级、</w:t>
            </w:r>
            <w:r>
              <w:rPr>
                <w:rFonts w:hint="eastAsia"/>
                <w:color w:val="auto"/>
              </w:rPr>
              <w:t>C</w:t>
            </w:r>
            <w:r>
              <w:rPr>
                <w:rFonts w:hint="eastAsia" w:ascii="宋体" w:hAnsi="宋体" w:cs="Times New Roman"/>
                <w:color w:val="auto"/>
              </w:rPr>
              <w:t>级、</w:t>
            </w:r>
            <w:r>
              <w:rPr>
                <w:rFonts w:hint="eastAsia"/>
                <w:color w:val="auto"/>
              </w:rPr>
              <w:t>D</w:t>
            </w:r>
            <w:r>
              <w:rPr>
                <w:rFonts w:hint="eastAsia" w:ascii="宋体" w:hAnsi="宋体" w:cs="Times New Roman"/>
                <w:color w:val="auto"/>
              </w:rPr>
              <w:t>级和</w:t>
            </w:r>
            <w:r>
              <w:rPr>
                <w:rFonts w:hint="eastAsia"/>
                <w:color w:val="auto"/>
              </w:rPr>
              <w:t>E</w:t>
            </w:r>
            <w:r>
              <w:rPr>
                <w:rFonts w:hint="eastAsia" w:ascii="宋体" w:hAnsi="宋体" w:cs="Times New Roman"/>
                <w:color w:val="auto"/>
              </w:rPr>
              <w:t>级</w:t>
            </w:r>
            <w:r>
              <w:rPr>
                <w:rFonts w:hint="eastAsia"/>
                <w:color w:val="auto"/>
              </w:rPr>
              <w:t>)</w:t>
            </w:r>
            <w:r>
              <w:rPr>
                <w:rFonts w:hint="eastAsia" w:ascii="宋体" w:hAnsi="宋体" w:cs="Times New Roman"/>
                <w:color w:val="auto"/>
              </w:rPr>
              <w:t>》，</w:t>
            </w:r>
            <w:r>
              <w:rPr>
                <w:rFonts w:hint="eastAsia"/>
                <w:color w:val="auto"/>
              </w:rPr>
              <w:t>GB/T 17215.211-2021</w:t>
            </w:r>
            <w:r>
              <w:rPr>
                <w:rFonts w:hint="eastAsia" w:ascii="宋体" w:hAnsi="宋体" w:cs="Times New Roman"/>
                <w:color w:val="auto"/>
              </w:rPr>
              <w:t>《电测量设备</w:t>
            </w:r>
            <w:r>
              <w:rPr>
                <w:rFonts w:hint="eastAsia"/>
                <w:color w:val="auto"/>
              </w:rPr>
              <w:t>(</w:t>
            </w:r>
            <w:r>
              <w:rPr>
                <w:rFonts w:hint="eastAsia" w:ascii="宋体" w:hAnsi="宋体" w:cs="Times New Roman"/>
                <w:color w:val="auto"/>
              </w:rPr>
              <w:t>交流</w:t>
            </w:r>
            <w:r>
              <w:rPr>
                <w:rFonts w:hint="eastAsia"/>
                <w:color w:val="auto"/>
              </w:rPr>
              <w:t>)</w:t>
            </w:r>
            <w:r>
              <w:rPr>
                <w:rFonts w:hint="eastAsia" w:ascii="宋体" w:hAnsi="宋体" w:cs="Times New Roman"/>
                <w:color w:val="auto"/>
              </w:rPr>
              <w:t>通用要求、试验和试验条件第</w:t>
            </w:r>
            <w:r>
              <w:rPr>
                <w:rFonts w:hint="eastAsia"/>
                <w:color w:val="auto"/>
              </w:rPr>
              <w:t>11</w:t>
            </w:r>
            <w:r>
              <w:rPr>
                <w:rFonts w:hint="eastAsia" w:ascii="宋体" w:hAnsi="宋体" w:cs="Times New Roman"/>
                <w:color w:val="auto"/>
              </w:rPr>
              <w:t>部分：测量 设备》，</w:t>
            </w:r>
            <w:r>
              <w:rPr>
                <w:rFonts w:hint="eastAsia"/>
                <w:color w:val="auto"/>
              </w:rPr>
              <w:t>DL/T614-2007</w:t>
            </w:r>
            <w:r>
              <w:rPr>
                <w:rFonts w:hint="eastAsia" w:ascii="宋体" w:hAnsi="宋体" w:cs="Times New Roman"/>
                <w:color w:val="auto"/>
              </w:rPr>
              <w:t>《多功能电能表》，《三相四线费控智能电能表测试大纲》</w:t>
            </w:r>
          </w:p>
          <w:p w14:paraId="368F1036">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4</w:t>
            </w:r>
            <w:r>
              <w:rPr>
                <w:rFonts w:hint="eastAsia" w:ascii="宋体" w:hAnsi="宋体" w:cs="Times New Roman"/>
                <w:color w:val="auto"/>
              </w:rPr>
              <w:t>、电表在</w:t>
            </w:r>
            <w:r>
              <w:rPr>
                <w:rFonts w:hint="eastAsia"/>
                <w:color w:val="auto"/>
              </w:rPr>
              <w:t>70</w:t>
            </w:r>
            <w:r>
              <w:rPr>
                <w:rFonts w:hint="eastAsia" w:ascii="宋体" w:hAnsi="宋体" w:cs="Times New Roman"/>
                <w:color w:val="auto"/>
              </w:rPr>
              <w:t>℃的高温试验下，持续保持</w:t>
            </w:r>
            <w:r>
              <w:rPr>
                <w:rFonts w:hint="eastAsia"/>
                <w:color w:val="auto"/>
              </w:rPr>
              <w:t>2h</w:t>
            </w:r>
            <w:r>
              <w:rPr>
                <w:rFonts w:hint="eastAsia" w:ascii="宋体" w:hAnsi="宋体" w:cs="Times New Roman"/>
                <w:color w:val="auto"/>
              </w:rPr>
              <w:t>，电表能正常工作。</w:t>
            </w:r>
          </w:p>
          <w:p w14:paraId="6E3BF91C">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5</w:t>
            </w:r>
            <w:r>
              <w:rPr>
                <w:rFonts w:hint="eastAsia" w:ascii="宋体" w:hAnsi="宋体" w:cs="Times New Roman"/>
                <w:color w:val="auto"/>
              </w:rPr>
              <w:t>、电表在</w:t>
            </w:r>
            <w:r>
              <w:rPr>
                <w:rFonts w:hint="eastAsia"/>
                <w:color w:val="auto"/>
              </w:rPr>
              <w:t>-40</w:t>
            </w:r>
            <w:r>
              <w:rPr>
                <w:rFonts w:hint="eastAsia" w:ascii="宋体" w:hAnsi="宋体" w:cs="Times New Roman"/>
                <w:color w:val="auto"/>
              </w:rPr>
              <w:t>℃的低温试验下，持续保持</w:t>
            </w:r>
            <w:r>
              <w:rPr>
                <w:rFonts w:hint="eastAsia"/>
                <w:color w:val="auto"/>
              </w:rPr>
              <w:t>2h</w:t>
            </w:r>
            <w:r>
              <w:rPr>
                <w:rFonts w:hint="eastAsia" w:ascii="宋体" w:hAnsi="宋体" w:cs="Times New Roman"/>
                <w:color w:val="auto"/>
              </w:rPr>
              <w:t>，电表能正常工作。电表有功功耗≤</w:t>
            </w:r>
            <w:r>
              <w:rPr>
                <w:rFonts w:hint="eastAsia"/>
                <w:color w:val="auto"/>
              </w:rPr>
              <w:t>0.25W</w:t>
            </w:r>
            <w:r>
              <w:rPr>
                <w:rFonts w:hint="eastAsia" w:ascii="宋体" w:hAnsi="宋体" w:cs="Times New Roman"/>
                <w:color w:val="auto"/>
              </w:rPr>
              <w:t>，视在功耗≤</w:t>
            </w:r>
            <w:r>
              <w:rPr>
                <w:rFonts w:hint="eastAsia"/>
                <w:color w:val="auto"/>
              </w:rPr>
              <w:t>1VA</w:t>
            </w:r>
          </w:p>
          <w:p w14:paraId="5F9A1988">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6</w:t>
            </w:r>
            <w:r>
              <w:rPr>
                <w:rFonts w:hint="eastAsia" w:ascii="宋体" w:hAnsi="宋体" w:cs="Times New Roman"/>
                <w:color w:val="auto"/>
              </w:rPr>
              <w:t>、电表在参比温度下，仪表内部时钟准确度应优于±</w:t>
            </w:r>
            <w:r>
              <w:rPr>
                <w:rFonts w:hint="eastAsia"/>
                <w:color w:val="auto"/>
              </w:rPr>
              <w:t>0.5 s/24 h</w:t>
            </w:r>
            <w:r>
              <w:rPr>
                <w:rFonts w:hint="eastAsia" w:ascii="宋体" w:hAnsi="宋体" w:cs="Times New Roman"/>
                <w:color w:val="auto"/>
              </w:rPr>
              <w:t>。</w:t>
            </w:r>
          </w:p>
          <w:p w14:paraId="5B5F674D">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7</w:t>
            </w:r>
            <w:r>
              <w:rPr>
                <w:rFonts w:hint="eastAsia" w:ascii="宋体" w:hAnsi="宋体" w:cs="Times New Roman"/>
                <w:color w:val="auto"/>
              </w:rPr>
              <w:t>、电表在仪表额定温度范围内，内部时钟准确度应优于±</w:t>
            </w:r>
            <w:r>
              <w:rPr>
                <w:rFonts w:hint="eastAsia"/>
                <w:color w:val="auto"/>
              </w:rPr>
              <w:t>1 s/24 h</w:t>
            </w:r>
            <w:r>
              <w:rPr>
                <w:rFonts w:hint="eastAsia" w:ascii="宋体" w:hAnsi="宋体" w:cs="Times New Roman"/>
                <w:color w:val="auto"/>
              </w:rPr>
              <w:t>。</w:t>
            </w:r>
          </w:p>
          <w:p w14:paraId="765CB9BB">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8</w:t>
            </w:r>
            <w:r>
              <w:rPr>
                <w:rFonts w:hint="eastAsia" w:ascii="宋体" w:hAnsi="宋体" w:cs="Times New Roman"/>
                <w:color w:val="auto"/>
              </w:rPr>
              <w:t>、电表安装尺寸为</w:t>
            </w:r>
            <w:r>
              <w:rPr>
                <w:rFonts w:hint="eastAsia"/>
                <w:color w:val="auto"/>
              </w:rPr>
              <w:t>290mm</w:t>
            </w:r>
            <w:r>
              <w:rPr>
                <w:rFonts w:hint="eastAsia" w:ascii="宋体" w:hAnsi="宋体" w:cs="Times New Roman"/>
                <w:color w:val="auto"/>
              </w:rPr>
              <w:t>±</w:t>
            </w:r>
            <w:r>
              <w:rPr>
                <w:rFonts w:hint="eastAsia"/>
                <w:color w:val="auto"/>
              </w:rPr>
              <w:t>1mm(</w:t>
            </w:r>
            <w:r>
              <w:rPr>
                <w:rFonts w:hint="eastAsia" w:ascii="宋体" w:hAnsi="宋体" w:cs="Times New Roman"/>
                <w:color w:val="auto"/>
              </w:rPr>
              <w:t>高</w:t>
            </w:r>
            <w:r>
              <w:rPr>
                <w:rFonts w:hint="eastAsia"/>
                <w:color w:val="auto"/>
              </w:rPr>
              <w:t>)</w:t>
            </w:r>
            <w:r>
              <w:rPr>
                <w:rFonts w:hint="eastAsia" w:ascii="宋体" w:hAnsi="宋体" w:cs="Times New Roman"/>
                <w:color w:val="auto"/>
              </w:rPr>
              <w:t>×</w:t>
            </w:r>
            <w:r>
              <w:rPr>
                <w:rFonts w:hint="eastAsia"/>
                <w:color w:val="auto"/>
              </w:rPr>
              <w:t>170mm</w:t>
            </w:r>
            <w:r>
              <w:rPr>
                <w:rFonts w:hint="eastAsia" w:ascii="宋体" w:hAnsi="宋体" w:cs="Times New Roman"/>
                <w:color w:val="auto"/>
              </w:rPr>
              <w:t xml:space="preserve">± </w:t>
            </w:r>
            <w:r>
              <w:rPr>
                <w:rFonts w:hint="eastAsia"/>
                <w:color w:val="auto"/>
              </w:rPr>
              <w:t>1mm(</w:t>
            </w:r>
            <w:r>
              <w:rPr>
                <w:rFonts w:hint="eastAsia" w:ascii="宋体" w:hAnsi="宋体" w:cs="Times New Roman"/>
                <w:color w:val="auto"/>
              </w:rPr>
              <w:t>宽</w:t>
            </w:r>
            <w:r>
              <w:rPr>
                <w:rFonts w:hint="eastAsia"/>
                <w:color w:val="auto"/>
              </w:rPr>
              <w:t>)</w:t>
            </w:r>
            <w:r>
              <w:rPr>
                <w:rFonts w:hint="eastAsia" w:ascii="宋体" w:hAnsi="宋体" w:cs="Times New Roman"/>
                <w:color w:val="auto"/>
              </w:rPr>
              <w:t>×</w:t>
            </w:r>
            <w:r>
              <w:rPr>
                <w:rFonts w:hint="eastAsia"/>
                <w:color w:val="auto"/>
              </w:rPr>
              <w:t>85mm</w:t>
            </w:r>
            <w:r>
              <w:rPr>
                <w:rFonts w:hint="eastAsia" w:ascii="宋体" w:hAnsi="宋体" w:cs="Times New Roman"/>
                <w:color w:val="auto"/>
              </w:rPr>
              <w:t>±</w:t>
            </w:r>
            <w:r>
              <w:rPr>
                <w:rFonts w:hint="eastAsia"/>
                <w:color w:val="auto"/>
              </w:rPr>
              <w:t>1mm(</w:t>
            </w:r>
            <w:r>
              <w:rPr>
                <w:rFonts w:hint="eastAsia" w:ascii="宋体" w:hAnsi="宋体" w:cs="Times New Roman"/>
                <w:color w:val="auto"/>
              </w:rPr>
              <w:t>厚</w:t>
            </w:r>
            <w:r>
              <w:rPr>
                <w:rFonts w:hint="eastAsia"/>
                <w:color w:val="auto"/>
              </w:rPr>
              <w:t>)</w:t>
            </w:r>
          </w:p>
          <w:p w14:paraId="16732ACC">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9</w:t>
            </w:r>
            <w:r>
              <w:rPr>
                <w:rFonts w:hint="eastAsia" w:ascii="宋体" w:hAnsi="宋体" w:cs="Times New Roman"/>
                <w:color w:val="auto"/>
              </w:rPr>
              <w:t xml:space="preserve">、电表可计量总及各费率的正向、反向、 组合有功的电量，有功组合方式可 </w:t>
            </w:r>
            <w:r>
              <w:rPr>
                <w:color w:val="auto"/>
              </w:rPr>
              <w:t xml:space="preserve"> </w:t>
            </w:r>
            <w:r>
              <w:rPr>
                <w:rFonts w:hint="eastAsia" w:ascii="宋体" w:hAnsi="宋体" w:cs="Times New Roman"/>
                <w:color w:val="auto"/>
              </w:rPr>
              <w:t>设 置 ；</w:t>
            </w:r>
          </w:p>
          <w:p w14:paraId="7737CE31">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ascii="宋体" w:hAnsi="宋体" w:cs="Times New Roman"/>
                <w:color w:val="auto"/>
              </w:rPr>
              <w:t>电表可计量总及各费率的四象限无功和</w:t>
            </w:r>
            <w:r>
              <w:rPr>
                <w:rFonts w:hint="eastAsia" w:cs="Times New Roman"/>
                <w:color w:val="auto"/>
              </w:rPr>
              <w:t xml:space="preserve"> </w:t>
            </w:r>
            <w:r>
              <w:rPr>
                <w:color w:val="auto"/>
              </w:rPr>
              <w:t xml:space="preserve"> </w:t>
            </w:r>
            <w:r>
              <w:rPr>
                <w:rFonts w:hint="eastAsia" w:ascii="宋体" w:hAnsi="宋体" w:cs="Times New Roman"/>
                <w:color w:val="auto"/>
              </w:rPr>
              <w:t>组合无功</w:t>
            </w:r>
            <w:r>
              <w:rPr>
                <w:rFonts w:hint="eastAsia"/>
                <w:color w:val="auto"/>
              </w:rPr>
              <w:t>I/II</w:t>
            </w:r>
            <w:r>
              <w:rPr>
                <w:rFonts w:hint="eastAsia" w:ascii="宋体" w:hAnsi="宋体" w:cs="Times New Roman"/>
                <w:color w:val="auto"/>
              </w:rPr>
              <w:t>的电量，组合无功方式 可设置 ；</w:t>
            </w:r>
          </w:p>
          <w:p w14:paraId="1617EAE1">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ascii="宋体" w:hAnsi="宋体" w:cs="Times New Roman"/>
                <w:color w:val="auto"/>
              </w:rPr>
              <w:t>电表可计量</w:t>
            </w:r>
            <w:r>
              <w:rPr>
                <w:rFonts w:hint="eastAsia"/>
                <w:color w:val="auto"/>
              </w:rPr>
              <w:t>A</w:t>
            </w:r>
            <w:r>
              <w:rPr>
                <w:rFonts w:hint="eastAsia" w:ascii="宋体" w:hAnsi="宋体" w:cs="Times New Roman"/>
                <w:color w:val="auto"/>
              </w:rPr>
              <w:t>、</w:t>
            </w:r>
            <w:r>
              <w:rPr>
                <w:rFonts w:hint="eastAsia"/>
                <w:color w:val="auto"/>
              </w:rPr>
              <w:t>B</w:t>
            </w:r>
            <w:r>
              <w:rPr>
                <w:rFonts w:hint="eastAsia" w:ascii="宋体" w:hAnsi="宋体" w:cs="Times New Roman"/>
                <w:color w:val="auto"/>
              </w:rPr>
              <w:t>、</w:t>
            </w:r>
            <w:r>
              <w:rPr>
                <w:rFonts w:hint="eastAsia"/>
                <w:color w:val="auto"/>
              </w:rPr>
              <w:t>C</w:t>
            </w:r>
            <w:r>
              <w:rPr>
                <w:rFonts w:hint="eastAsia" w:ascii="宋体" w:hAnsi="宋体" w:cs="Times New Roman"/>
                <w:color w:val="auto"/>
              </w:rPr>
              <w:t>三相的正反向有功 和四象限无功总电量；</w:t>
            </w:r>
          </w:p>
          <w:p w14:paraId="0AB1709C">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10</w:t>
            </w:r>
            <w:r>
              <w:rPr>
                <w:rFonts w:hint="eastAsia" w:ascii="宋体" w:hAnsi="宋体" w:cs="Times New Roman"/>
                <w:color w:val="auto"/>
              </w:rPr>
              <w:t>、电表可存储当前及上</w:t>
            </w:r>
            <w:r>
              <w:rPr>
                <w:rFonts w:hint="eastAsia"/>
                <w:color w:val="auto"/>
              </w:rPr>
              <w:t>12</w:t>
            </w:r>
            <w:r>
              <w:rPr>
                <w:rFonts w:hint="eastAsia" w:ascii="宋体" w:hAnsi="宋体" w:cs="Times New Roman"/>
                <w:color w:val="auto"/>
              </w:rPr>
              <w:t xml:space="preserve">个结算日的电量 </w:t>
            </w:r>
            <w:r>
              <w:rPr>
                <w:color w:val="auto"/>
              </w:rPr>
              <w:t xml:space="preserve"> </w:t>
            </w:r>
            <w:r>
              <w:rPr>
                <w:rFonts w:hint="eastAsia" w:ascii="宋体" w:hAnsi="宋体" w:cs="Times New Roman"/>
                <w:color w:val="auto"/>
              </w:rPr>
              <w:t>数据；数据转存时间默认为月初</w:t>
            </w:r>
            <w:r>
              <w:rPr>
                <w:rFonts w:hint="eastAsia"/>
                <w:color w:val="auto"/>
              </w:rPr>
              <w:t>0</w:t>
            </w:r>
            <w:r>
              <w:rPr>
                <w:rFonts w:hint="eastAsia" w:ascii="宋体" w:hAnsi="宋体" w:cs="Times New Roman"/>
                <w:color w:val="auto"/>
              </w:rPr>
              <w:t xml:space="preserve">时 </w:t>
            </w:r>
            <w:r>
              <w:rPr>
                <w:rFonts w:hint="eastAsia"/>
                <w:color w:val="auto"/>
              </w:rPr>
              <w:t>(</w:t>
            </w:r>
            <w:r>
              <w:rPr>
                <w:rFonts w:hint="eastAsia" w:ascii="宋体" w:hAnsi="宋体" w:cs="Times New Roman"/>
                <w:color w:val="auto"/>
              </w:rPr>
              <w:t>月末</w:t>
            </w:r>
            <w:r>
              <w:rPr>
                <w:rFonts w:hint="eastAsia"/>
                <w:color w:val="auto"/>
              </w:rPr>
              <w:t>24</w:t>
            </w:r>
            <w:r>
              <w:rPr>
                <w:rFonts w:hint="eastAsia" w:ascii="宋体" w:hAnsi="宋体" w:cs="Times New Roman"/>
                <w:color w:val="auto"/>
              </w:rPr>
              <w:t>时</w:t>
            </w:r>
            <w:r>
              <w:rPr>
                <w:rFonts w:hint="eastAsia"/>
                <w:color w:val="auto"/>
              </w:rPr>
              <w:t>),</w:t>
            </w:r>
            <w:r>
              <w:rPr>
                <w:rFonts w:hint="eastAsia" w:ascii="宋体" w:hAnsi="宋体" w:cs="Times New Roman"/>
                <w:color w:val="auto"/>
              </w:rPr>
              <w:t>用户可根据实际需求设置其它</w:t>
            </w:r>
            <w:r>
              <w:rPr>
                <w:rFonts w:hint="eastAsia"/>
                <w:color w:val="auto"/>
              </w:rPr>
              <w:t>(1~28</w:t>
            </w:r>
            <w:r>
              <w:rPr>
                <w:rFonts w:hint="eastAsia" w:ascii="宋体" w:hAnsi="宋体" w:cs="Times New Roman"/>
                <w:color w:val="auto"/>
              </w:rPr>
              <w:t>日</w:t>
            </w:r>
            <w:r>
              <w:rPr>
                <w:rFonts w:hint="eastAsia"/>
                <w:color w:val="auto"/>
              </w:rPr>
              <w:t>)</w:t>
            </w:r>
            <w:r>
              <w:rPr>
                <w:rFonts w:hint="eastAsia" w:ascii="宋体" w:hAnsi="宋体" w:cs="Times New Roman"/>
                <w:color w:val="auto"/>
              </w:rPr>
              <w:t>任意时刻。</w:t>
            </w:r>
          </w:p>
          <w:p w14:paraId="402DC225">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11</w:t>
            </w:r>
            <w:r>
              <w:rPr>
                <w:rFonts w:hint="eastAsia" w:ascii="宋体" w:hAnsi="宋体" w:cs="Times New Roman"/>
                <w:color w:val="auto"/>
              </w:rPr>
              <w:t>、电表实时测量</w:t>
            </w:r>
            <w:r>
              <w:rPr>
                <w:rFonts w:hint="eastAsia"/>
                <w:color w:val="auto"/>
              </w:rPr>
              <w:t>A</w:t>
            </w:r>
            <w:r>
              <w:rPr>
                <w:rFonts w:hint="eastAsia" w:ascii="宋体" w:hAnsi="宋体" w:cs="Times New Roman"/>
                <w:color w:val="auto"/>
              </w:rPr>
              <w:t>、</w:t>
            </w:r>
            <w:r>
              <w:rPr>
                <w:rFonts w:hint="eastAsia"/>
                <w:color w:val="auto"/>
              </w:rPr>
              <w:t>B</w:t>
            </w:r>
            <w:r>
              <w:rPr>
                <w:rFonts w:hint="eastAsia" w:ascii="宋体" w:hAnsi="宋体" w:cs="Times New Roman"/>
                <w:color w:val="auto"/>
              </w:rPr>
              <w:t>、</w:t>
            </w:r>
            <w:r>
              <w:rPr>
                <w:rFonts w:hint="eastAsia"/>
                <w:color w:val="auto"/>
              </w:rPr>
              <w:t>C</w:t>
            </w:r>
            <w:r>
              <w:rPr>
                <w:rFonts w:hint="eastAsia" w:ascii="宋体" w:hAnsi="宋体" w:cs="Times New Roman"/>
                <w:color w:val="auto"/>
              </w:rPr>
              <w:t>各相的电压、电流、相角、视在功率、有功功率、 无功功率、功率因數及电网频率，并且显示功率的方向。</w:t>
            </w:r>
          </w:p>
          <w:p w14:paraId="012B83DE">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12</w:t>
            </w:r>
            <w:r>
              <w:rPr>
                <w:rFonts w:hint="eastAsia" w:ascii="宋体" w:hAnsi="宋体" w:cs="Times New Roman"/>
                <w:color w:val="auto"/>
              </w:rPr>
              <w:t>、越限监测功能：可对各相电压、电 流等参数设置阀值进行监视，通过监测该量值是否超出或低于预先设 定的限值，以事件方式进行记录。</w:t>
            </w:r>
          </w:p>
          <w:p w14:paraId="7DA35CFA">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13</w:t>
            </w:r>
            <w:r>
              <w:rPr>
                <w:rFonts w:hint="eastAsia" w:ascii="宋体" w:hAnsi="宋体" w:cs="Times New Roman"/>
                <w:color w:val="auto"/>
              </w:rPr>
              <w:t>、电表可记录总及各费率正、反向有功、四象限无功、组合无功最大需量及其发生时间；</w:t>
            </w:r>
          </w:p>
          <w:p w14:paraId="41443D79">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14</w:t>
            </w:r>
            <w:r>
              <w:rPr>
                <w:rFonts w:hint="eastAsia" w:ascii="宋体" w:hAnsi="宋体" w:cs="Times New Roman"/>
                <w:color w:val="auto"/>
              </w:rPr>
              <w:t>、电能表可支持四种费率</w:t>
            </w:r>
            <w:r>
              <w:rPr>
                <w:rFonts w:hint="eastAsia"/>
                <w:color w:val="auto"/>
              </w:rPr>
              <w:t>(</w:t>
            </w:r>
            <w:r>
              <w:rPr>
                <w:rFonts w:hint="eastAsia" w:ascii="宋体" w:hAnsi="宋体" w:cs="Times New Roman"/>
                <w:color w:val="auto"/>
              </w:rPr>
              <w:t>尖、峰、 平、谷</w:t>
            </w:r>
            <w:r>
              <w:rPr>
                <w:rFonts w:hint="eastAsia"/>
                <w:color w:val="auto"/>
              </w:rPr>
              <w:t>)</w:t>
            </w:r>
            <w:r>
              <w:rPr>
                <w:rFonts w:hint="eastAsia" w:ascii="宋体" w:hAnsi="宋体" w:cs="Times New Roman"/>
                <w:color w:val="auto"/>
              </w:rPr>
              <w:t>切换。电能具有两套时区表和两套日时段表方案，两套方案各自带有切换时间</w:t>
            </w:r>
            <w:r>
              <w:rPr>
                <w:rFonts w:hint="eastAsia"/>
                <w:color w:val="auto"/>
              </w:rPr>
              <w:t>(</w:t>
            </w:r>
            <w:r>
              <w:rPr>
                <w:rFonts w:hint="eastAsia" w:ascii="宋体" w:hAnsi="宋体" w:cs="Times New Roman"/>
                <w:color w:val="auto"/>
              </w:rPr>
              <w:t>年 月日时分</w:t>
            </w:r>
            <w:r>
              <w:rPr>
                <w:rFonts w:hint="eastAsia"/>
                <w:color w:val="auto"/>
              </w:rPr>
              <w:t>),</w:t>
            </w:r>
            <w:r>
              <w:rPr>
                <w:rFonts w:hint="eastAsia" w:ascii="宋体" w:hAnsi="宋体" w:cs="Times New Roman"/>
                <w:color w:val="auto"/>
              </w:rPr>
              <w:t>可通过预先设置切换时间实现两套费率方案的自动切换每套费率时段方案全年最大可设置</w:t>
            </w:r>
            <w:r>
              <w:rPr>
                <w:rFonts w:hint="eastAsia"/>
                <w:color w:val="auto"/>
              </w:rPr>
              <w:t>14</w:t>
            </w:r>
            <w:r>
              <w:rPr>
                <w:rFonts w:hint="eastAsia" w:ascii="宋体" w:hAnsi="宋体" w:cs="Times New Roman"/>
                <w:color w:val="auto"/>
              </w:rPr>
              <w:t>个时区，各个时区设置起始日期及使用的日时段表号。每天可以设置</w:t>
            </w:r>
            <w:r>
              <w:rPr>
                <w:rFonts w:hint="eastAsia"/>
                <w:color w:val="auto"/>
              </w:rPr>
              <w:t>14</w:t>
            </w:r>
            <w:r>
              <w:rPr>
                <w:rFonts w:hint="eastAsia" w:ascii="宋体" w:hAnsi="宋体" w:cs="Times New Roman"/>
                <w:color w:val="auto"/>
              </w:rPr>
              <w:t xml:space="preserve">个时段，各个时段设置起始时间及使用的费率。时段最小间隔为 </w:t>
            </w:r>
            <w:r>
              <w:rPr>
                <w:rFonts w:hint="eastAsia"/>
                <w:color w:val="auto"/>
              </w:rPr>
              <w:t>15</w:t>
            </w:r>
            <w:r>
              <w:rPr>
                <w:rFonts w:hint="eastAsia" w:ascii="宋体" w:hAnsi="宋体" w:cs="Times New Roman"/>
                <w:color w:val="auto"/>
              </w:rPr>
              <w:t>分钟</w:t>
            </w:r>
            <w:r>
              <w:rPr>
                <w:rFonts w:hint="eastAsia"/>
                <w:color w:val="auto"/>
              </w:rPr>
              <w:t>(</w:t>
            </w:r>
            <w:r>
              <w:rPr>
                <w:rFonts w:hint="eastAsia" w:ascii="宋体" w:hAnsi="宋体" w:cs="Times New Roman"/>
                <w:color w:val="auto"/>
              </w:rPr>
              <w:t>由上位机设置软件控制</w:t>
            </w:r>
            <w:r>
              <w:rPr>
                <w:rFonts w:hint="eastAsia"/>
                <w:color w:val="auto"/>
              </w:rPr>
              <w:t xml:space="preserve">), </w:t>
            </w:r>
            <w:r>
              <w:rPr>
                <w:rFonts w:hint="eastAsia" w:ascii="宋体" w:hAnsi="宋体" w:cs="Times New Roman"/>
                <w:color w:val="auto"/>
              </w:rPr>
              <w:t>可跨越零点设置。</w:t>
            </w:r>
          </w:p>
          <w:p w14:paraId="63979CC7">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15</w:t>
            </w:r>
            <w:r>
              <w:rPr>
                <w:rFonts w:hint="eastAsia" w:ascii="宋体" w:hAnsi="宋体" w:cs="Times New Roman"/>
                <w:color w:val="auto"/>
              </w:rPr>
              <w:t>、 电能具有节假日和周休日特殊费率时段功能。最大可设置</w:t>
            </w:r>
            <w:r>
              <w:rPr>
                <w:rFonts w:hint="eastAsia"/>
                <w:color w:val="auto"/>
              </w:rPr>
              <w:t>254</w:t>
            </w:r>
            <w:r>
              <w:rPr>
                <w:rFonts w:hint="eastAsia" w:ascii="宋体" w:hAnsi="宋体" w:cs="Times New Roman"/>
                <w:color w:val="auto"/>
              </w:rPr>
              <w:t>个节假日费率数据。</w:t>
            </w:r>
          </w:p>
          <w:p w14:paraId="22D4D10F">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16</w:t>
            </w:r>
            <w:r>
              <w:rPr>
                <w:rFonts w:hint="eastAsia" w:ascii="宋体" w:hAnsi="宋体" w:cs="Times New Roman"/>
                <w:color w:val="auto"/>
              </w:rPr>
              <w:t>、仪表具有</w:t>
            </w:r>
            <w:r>
              <w:rPr>
                <w:rFonts w:hint="eastAsia"/>
                <w:color w:val="auto"/>
              </w:rPr>
              <w:t>RS-48S</w:t>
            </w:r>
            <w:r>
              <w:rPr>
                <w:rFonts w:hint="eastAsia" w:ascii="宋体" w:hAnsi="宋体" w:cs="Times New Roman"/>
                <w:color w:val="auto"/>
              </w:rPr>
              <w:t>通信接口和红外通信接口，支持</w:t>
            </w:r>
            <w:r>
              <w:rPr>
                <w:rFonts w:hint="eastAsia"/>
                <w:color w:val="auto"/>
              </w:rPr>
              <w:t>DL/T645</w:t>
            </w:r>
            <w:r>
              <w:rPr>
                <w:rFonts w:hint="eastAsia" w:ascii="宋体" w:hAnsi="宋体" w:cs="Times New Roman"/>
                <w:color w:val="auto"/>
              </w:rPr>
              <w:t>规约，可进行参数设置、数据采集等功能。通信可设置。具有可热插拔通讯无线模块接口。通信信道物理层相互独立，任意一条通信信道的损坏不影响其它信道正常工作。</w:t>
            </w:r>
          </w:p>
          <w:p w14:paraId="303E885C">
            <w:pPr>
              <w:pageBreakBefore w:val="0"/>
              <w:kinsoku/>
              <w:wordWrap/>
              <w:overflowPunct/>
              <w:topLinePunct w:val="0"/>
              <w:autoSpaceDE/>
              <w:autoSpaceDN/>
              <w:bidi w:val="0"/>
              <w:adjustRightInd w:val="0"/>
              <w:snapToGrid w:val="0"/>
              <w:spacing w:beforeAutospacing="0" w:afterAutospacing="0" w:line="240" w:lineRule="auto"/>
              <w:jc w:val="left"/>
              <w:rPr>
                <w:rFonts w:hint="eastAsia" w:cs="Times New Roman"/>
                <w:color w:val="auto"/>
              </w:rPr>
            </w:pPr>
            <w:r>
              <w:rPr>
                <w:rFonts w:hint="eastAsia"/>
                <w:color w:val="auto"/>
              </w:rPr>
              <w:t>17</w:t>
            </w:r>
            <w:r>
              <w:rPr>
                <w:rFonts w:hint="eastAsia" w:ascii="宋体" w:hAnsi="宋体" w:cs="Times New Roman"/>
                <w:color w:val="auto"/>
              </w:rPr>
              <w:t>、电能具有</w:t>
            </w:r>
            <w:r>
              <w:rPr>
                <w:rFonts w:hint="eastAsia"/>
                <w:color w:val="auto"/>
              </w:rPr>
              <w:t>LCD</w:t>
            </w:r>
            <w:r>
              <w:rPr>
                <w:rFonts w:hint="eastAsia" w:ascii="宋体" w:hAnsi="宋体" w:cs="Times New Roman"/>
                <w:color w:val="auto"/>
              </w:rPr>
              <w:t>液品显示屏，可分自动循显和按键显示两种方式。按键显示时</w:t>
            </w:r>
            <w:r>
              <w:rPr>
                <w:rFonts w:hint="eastAsia"/>
                <w:color w:val="auto"/>
              </w:rPr>
              <w:t>LCD</w:t>
            </w:r>
            <w:r>
              <w:rPr>
                <w:rFonts w:hint="eastAsia" w:ascii="宋体" w:hAnsi="宋体" w:cs="Times New Roman"/>
                <w:color w:val="auto"/>
              </w:rPr>
              <w:t>启动背光灯，停电后，显示自动关闭，可通过按键方式唤醒显示。</w:t>
            </w:r>
          </w:p>
          <w:p w14:paraId="3804C5A1">
            <w:pPr>
              <w:pageBreakBefore w:val="0"/>
              <w:kinsoku/>
              <w:wordWrap/>
              <w:overflowPunct/>
              <w:topLinePunct w:val="0"/>
              <w:autoSpaceDE/>
              <w:autoSpaceDN/>
              <w:bidi w:val="0"/>
              <w:adjustRightInd w:val="0"/>
              <w:snapToGrid w:val="0"/>
              <w:spacing w:beforeAutospacing="0" w:afterAutospacing="0" w:line="240" w:lineRule="auto"/>
              <w:jc w:val="left"/>
              <w:rPr>
                <w:rFonts w:hint="eastAsia" w:ascii="Times New Roman" w:hAnsi="Times New Roman" w:eastAsia="宋体" w:cs="Times New Roman"/>
                <w:color w:val="auto"/>
                <w:sz w:val="21"/>
                <w:szCs w:val="22"/>
                <w:lang w:val="en-US" w:eastAsia="zh-CN"/>
              </w:rPr>
            </w:pPr>
          </w:p>
        </w:tc>
        <w:tc>
          <w:tcPr>
            <w:tcW w:w="691" w:type="dxa"/>
            <w:tcBorders>
              <w:top w:val="single" w:color="auto" w:sz="4" w:space="0"/>
              <w:left w:val="nil"/>
              <w:bottom w:val="single" w:color="auto" w:sz="4" w:space="0"/>
              <w:right w:val="single" w:color="auto" w:sz="4" w:space="0"/>
            </w:tcBorders>
            <w:vAlign w:val="center"/>
          </w:tcPr>
          <w:p w14:paraId="02CE83FF">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只</w:t>
            </w:r>
          </w:p>
        </w:tc>
        <w:tc>
          <w:tcPr>
            <w:tcW w:w="673" w:type="dxa"/>
            <w:tcBorders>
              <w:top w:val="single" w:color="auto" w:sz="4" w:space="0"/>
              <w:left w:val="nil"/>
              <w:bottom w:val="single" w:color="auto" w:sz="4" w:space="0"/>
              <w:right w:val="single" w:color="auto" w:sz="4" w:space="0"/>
            </w:tcBorders>
            <w:vAlign w:val="center"/>
          </w:tcPr>
          <w:p w14:paraId="5BA4F11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40</w:t>
            </w:r>
          </w:p>
        </w:tc>
        <w:tc>
          <w:tcPr>
            <w:tcW w:w="881" w:type="dxa"/>
            <w:tcBorders>
              <w:top w:val="single" w:color="auto" w:sz="4" w:space="0"/>
              <w:left w:val="nil"/>
              <w:bottom w:val="single" w:color="auto" w:sz="4" w:space="0"/>
              <w:right w:val="single" w:color="auto" w:sz="4" w:space="0"/>
            </w:tcBorders>
            <w:shd w:val="clear" w:color="auto" w:fill="auto"/>
            <w:vAlign w:val="center"/>
          </w:tcPr>
          <w:p w14:paraId="14DC5405">
            <w:pPr>
              <w:spacing w:line="560" w:lineRule="exact"/>
              <w:jc w:val="center"/>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shd w:val="clear" w:color="auto" w:fill="auto"/>
            <w:vAlign w:val="center"/>
          </w:tcPr>
          <w:p w14:paraId="3C942B41">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0927A11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72211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471AE77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cs="宋体"/>
                <w:color w:val="auto"/>
                <w:spacing w:val="6"/>
                <w:sz w:val="21"/>
                <w:szCs w:val="21"/>
                <w:lang w:val="en-US" w:eastAsia="zh-CN"/>
              </w:rPr>
              <w:t>4</w:t>
            </w:r>
          </w:p>
        </w:tc>
        <w:tc>
          <w:tcPr>
            <w:tcW w:w="1557" w:type="dxa"/>
            <w:tcBorders>
              <w:top w:val="single" w:color="auto" w:sz="4" w:space="0"/>
              <w:left w:val="nil"/>
              <w:bottom w:val="single" w:color="auto" w:sz="4" w:space="0"/>
              <w:right w:val="single" w:color="auto" w:sz="4" w:space="0"/>
            </w:tcBorders>
            <w:shd w:val="clear" w:color="auto" w:fill="auto"/>
            <w:vAlign w:val="center"/>
          </w:tcPr>
          <w:p w14:paraId="1834790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1BF33B47">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z w:val="21"/>
                <w:szCs w:val="21"/>
              </w:rPr>
              <w:t>（DN</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rPr>
              <w:t>）</w:t>
            </w:r>
          </w:p>
        </w:tc>
        <w:tc>
          <w:tcPr>
            <w:tcW w:w="7677" w:type="dxa"/>
            <w:vMerge w:val="restart"/>
            <w:tcBorders>
              <w:top w:val="single" w:color="auto" w:sz="4" w:space="0"/>
              <w:left w:val="nil"/>
              <w:right w:val="single" w:color="auto" w:sz="4" w:space="0"/>
            </w:tcBorders>
            <w:shd w:val="clear" w:color="auto" w:fill="auto"/>
            <w:vAlign w:val="center"/>
          </w:tcPr>
          <w:p w14:paraId="3B51181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eastAsia="宋体" w:cs="Times New Roman"/>
                <w:color w:val="auto"/>
              </w:rPr>
            </w:pPr>
            <w:r>
              <w:rPr>
                <w:rFonts w:hint="eastAsia"/>
                <w:color w:val="auto"/>
              </w:rPr>
              <w:t>1</w:t>
            </w:r>
            <w:r>
              <w:rPr>
                <w:rFonts w:hint="eastAsia" w:ascii="宋体" w:hAnsi="宋体" w:cs="Times New Roman"/>
                <w:color w:val="auto"/>
              </w:rPr>
              <w:t>、准确度等级：</w:t>
            </w:r>
            <w:r>
              <w:rPr>
                <w:rFonts w:hint="eastAsia"/>
                <w:color w:val="auto"/>
              </w:rPr>
              <w:t>2</w:t>
            </w:r>
            <w:r>
              <w:rPr>
                <w:rFonts w:hint="eastAsia" w:ascii="宋体" w:hAnsi="宋体" w:cs="Times New Roman"/>
                <w:color w:val="auto"/>
              </w:rPr>
              <w:t>级及以上；</w:t>
            </w:r>
          </w:p>
          <w:p w14:paraId="046C2907">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w:t>
            </w:r>
            <w:r>
              <w:rPr>
                <w:rFonts w:hint="eastAsia" w:ascii="宋体" w:hAnsi="宋体" w:cs="Times New Roman"/>
                <w:color w:val="auto"/>
              </w:rPr>
              <w:t>、压力等级：≥</w:t>
            </w:r>
            <w:r>
              <w:rPr>
                <w:rFonts w:hint="eastAsia"/>
                <w:color w:val="auto"/>
              </w:rPr>
              <w:t>MAP10</w:t>
            </w:r>
            <w:r>
              <w:rPr>
                <w:rFonts w:hint="eastAsia" w:ascii="宋体" w:hAnsi="宋体" w:cs="Times New Roman"/>
                <w:color w:val="auto"/>
              </w:rPr>
              <w:t>；</w:t>
            </w:r>
          </w:p>
          <w:p w14:paraId="649CB1D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3</w:t>
            </w:r>
            <w:r>
              <w:rPr>
                <w:rFonts w:hint="eastAsia" w:ascii="宋体" w:hAnsi="宋体" w:cs="Times New Roman"/>
                <w:color w:val="auto"/>
              </w:rPr>
              <w:t>、量程比：≥</w:t>
            </w:r>
            <w:r>
              <w:rPr>
                <w:rFonts w:hint="eastAsia"/>
                <w:color w:val="auto"/>
              </w:rPr>
              <w:t>R100</w:t>
            </w:r>
            <w:r>
              <w:rPr>
                <w:rFonts w:hint="eastAsia" w:ascii="宋体" w:hAnsi="宋体" w:cs="Times New Roman"/>
                <w:color w:val="auto"/>
              </w:rPr>
              <w:t>；</w:t>
            </w:r>
          </w:p>
          <w:p w14:paraId="2F7FA55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eastAsia="宋体" w:cs="Times New Roman"/>
                <w:color w:val="auto"/>
                <w:lang w:eastAsia="zh-CN"/>
              </w:rPr>
            </w:pPr>
            <w:r>
              <w:rPr>
                <w:rFonts w:hint="eastAsia"/>
                <w:color w:val="auto"/>
              </w:rPr>
              <w:t>4</w:t>
            </w:r>
            <w:r>
              <w:rPr>
                <w:rFonts w:hint="eastAsia" w:ascii="宋体" w:hAnsi="宋体" w:cs="Times New Roman"/>
                <w:color w:val="auto"/>
              </w:rPr>
              <w:t>、</w:t>
            </w:r>
            <w:r>
              <w:rPr>
                <w:rFonts w:hint="eastAsia" w:cs="Times New Roman"/>
                <w:color w:val="auto"/>
                <w:lang w:val="en-US" w:eastAsia="zh-CN"/>
              </w:rPr>
              <w:t>表本体材质</w:t>
            </w:r>
            <w:r>
              <w:rPr>
                <w:rFonts w:hint="eastAsia" w:ascii="宋体" w:hAnsi="宋体" w:cs="Times New Roman"/>
                <w:color w:val="auto"/>
              </w:rPr>
              <w:t>：</w:t>
            </w:r>
            <w:r>
              <w:rPr>
                <w:rFonts w:hint="eastAsia" w:cs="Times New Roman"/>
                <w:color w:val="auto"/>
                <w:lang w:val="en-US" w:eastAsia="zh-CN"/>
              </w:rPr>
              <w:t>DN15-25为</w:t>
            </w:r>
            <w:r>
              <w:rPr>
                <w:rFonts w:hint="eastAsia" w:ascii="宋体" w:hAnsi="宋体" w:cs="Times New Roman"/>
                <w:color w:val="auto"/>
              </w:rPr>
              <w:t>铜</w:t>
            </w:r>
            <w:r>
              <w:rPr>
                <w:rFonts w:hint="eastAsia" w:cs="Times New Roman"/>
                <w:color w:val="auto"/>
                <w:lang w:val="en-US" w:eastAsia="zh-CN"/>
              </w:rPr>
              <w:t>壳</w:t>
            </w:r>
            <w:r>
              <w:rPr>
                <w:rFonts w:hint="eastAsia" w:ascii="宋体" w:hAnsi="宋体" w:cs="Times New Roman"/>
                <w:color w:val="auto"/>
                <w:lang w:eastAsia="zh-CN"/>
              </w:rPr>
              <w:t>，</w:t>
            </w:r>
            <w:r>
              <w:rPr>
                <w:rFonts w:hint="eastAsia" w:ascii="Calibri" w:hAnsi="Calibri" w:eastAsia="宋体" w:cs="Times New Roman"/>
                <w:color w:val="auto"/>
                <w:szCs w:val="21"/>
              </w:rPr>
              <w:t>DN</w:t>
            </w:r>
            <w:r>
              <w:rPr>
                <w:rFonts w:hint="eastAsia" w:ascii="Calibri" w:hAnsi="Calibri" w:eastAsia="宋体" w:cs="Times New Roman"/>
                <w:color w:val="auto"/>
                <w:szCs w:val="21"/>
                <w:lang w:val="en-US" w:eastAsia="zh-CN"/>
              </w:rPr>
              <w:t>32</w:t>
            </w:r>
            <w:r>
              <w:rPr>
                <w:rFonts w:hint="eastAsia" w:ascii="Calibri" w:hAnsi="Calibri" w:eastAsia="宋体" w:cs="Times New Roman"/>
                <w:color w:val="auto"/>
                <w:szCs w:val="21"/>
              </w:rPr>
              <w:t>-</w:t>
            </w:r>
            <w:r>
              <w:rPr>
                <w:rFonts w:hint="eastAsia"/>
                <w:color w:val="auto"/>
              </w:rPr>
              <w:t>150</w:t>
            </w:r>
            <w:r>
              <w:rPr>
                <w:rFonts w:hint="eastAsia" w:ascii="Calibri" w:hAnsi="Calibri" w:eastAsia="宋体" w:cs="Times New Roman"/>
                <w:color w:val="auto"/>
                <w:szCs w:val="21"/>
                <w:lang w:val="en-US" w:eastAsia="zh-CN"/>
              </w:rPr>
              <w:t>为球墨铸铁</w:t>
            </w:r>
          </w:p>
          <w:p w14:paraId="0B00151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5</w:t>
            </w:r>
            <w:r>
              <w:rPr>
                <w:rFonts w:hint="eastAsia" w:ascii="宋体" w:hAnsi="宋体" w:cs="Times New Roman"/>
                <w:color w:val="auto"/>
              </w:rPr>
              <w:t>、机芯类型：湿式机芯；</w:t>
            </w:r>
          </w:p>
          <w:p w14:paraId="4C0F2D3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6</w:t>
            </w:r>
            <w:r>
              <w:rPr>
                <w:rFonts w:hint="eastAsia" w:ascii="宋体" w:hAnsi="宋体" w:cs="Times New Roman"/>
                <w:color w:val="auto"/>
              </w:rPr>
              <w:t>、传感器类型：磁阻</w:t>
            </w:r>
            <w:r>
              <w:rPr>
                <w:rFonts w:hint="eastAsia"/>
                <w:color w:val="auto"/>
              </w:rPr>
              <w:t>/</w:t>
            </w:r>
            <w:r>
              <w:rPr>
                <w:rFonts w:hint="eastAsia" w:ascii="宋体" w:hAnsi="宋体" w:cs="Times New Roman"/>
                <w:color w:val="auto"/>
              </w:rPr>
              <w:t>无磁；</w:t>
            </w:r>
          </w:p>
          <w:p w14:paraId="5AF9A20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7</w:t>
            </w:r>
            <w:r>
              <w:rPr>
                <w:rFonts w:hint="eastAsia" w:ascii="宋体" w:hAnsi="宋体" w:cs="Times New Roman"/>
                <w:color w:val="auto"/>
              </w:rPr>
              <w:t>、电子采样分辨率：≥</w:t>
            </w:r>
            <w:r>
              <w:rPr>
                <w:rFonts w:hint="eastAsia"/>
                <w:color w:val="auto"/>
              </w:rPr>
              <w:t>0.001m</w:t>
            </w:r>
            <w:r>
              <w:rPr>
                <w:rFonts w:hint="eastAsia" w:ascii="宋体" w:hAnsi="宋体" w:cs="Times New Roman"/>
                <w:color w:val="auto"/>
              </w:rPr>
              <w:t>³；</w:t>
            </w:r>
          </w:p>
          <w:p w14:paraId="04A177F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8</w:t>
            </w:r>
            <w:r>
              <w:rPr>
                <w:rFonts w:hint="eastAsia" w:ascii="宋体" w:hAnsi="宋体" w:cs="Times New Roman"/>
                <w:color w:val="auto"/>
              </w:rPr>
              <w:t>、温度等级为</w:t>
            </w:r>
            <w:r>
              <w:rPr>
                <w:rFonts w:hint="eastAsia"/>
                <w:color w:val="auto"/>
              </w:rPr>
              <w:t>T30</w:t>
            </w:r>
            <w:r>
              <w:rPr>
                <w:rFonts w:hint="eastAsia" w:ascii="宋体" w:hAnsi="宋体" w:cs="Times New Roman"/>
                <w:color w:val="auto"/>
              </w:rPr>
              <w:t>，水表防冻性能强</w:t>
            </w:r>
          </w:p>
          <w:p w14:paraId="656AAE5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9</w:t>
            </w:r>
            <w:r>
              <w:rPr>
                <w:rFonts w:hint="eastAsia" w:ascii="宋体" w:hAnsi="宋体" w:cs="Times New Roman"/>
                <w:color w:val="auto"/>
              </w:rPr>
              <w:t>、压力损失等级</w:t>
            </w:r>
            <w:r>
              <w:rPr>
                <w:rFonts w:hint="eastAsia"/>
                <w:color w:val="auto"/>
              </w:rPr>
              <w:t>:</w:t>
            </w:r>
            <w:r>
              <w:rPr>
                <w:rFonts w:hint="eastAsia" w:ascii="宋体" w:hAnsi="宋体" w:cs="Times New Roman"/>
                <w:color w:val="auto"/>
              </w:rPr>
              <w:t>△</w:t>
            </w:r>
            <w:r>
              <w:rPr>
                <w:rFonts w:hint="eastAsia"/>
                <w:color w:val="auto"/>
              </w:rPr>
              <w:t>p63</w:t>
            </w:r>
          </w:p>
          <w:p w14:paraId="312EA93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10</w:t>
            </w:r>
            <w:r>
              <w:rPr>
                <w:rFonts w:hint="eastAsia" w:ascii="宋体" w:hAnsi="宋体" w:cs="Times New Roman"/>
                <w:color w:val="auto"/>
              </w:rPr>
              <w:t>、上游流场敏感度等级</w:t>
            </w:r>
            <w:r>
              <w:rPr>
                <w:rFonts w:hint="eastAsia"/>
                <w:color w:val="auto"/>
              </w:rPr>
              <w:t>:U10</w:t>
            </w:r>
          </w:p>
          <w:p w14:paraId="54BDC03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ascii="宋体" w:hAnsi="宋体" w:cs="Times New Roman"/>
                <w:color w:val="auto"/>
              </w:rPr>
              <w:t>下游流场敏感度等级</w:t>
            </w:r>
            <w:r>
              <w:rPr>
                <w:rFonts w:hint="eastAsia"/>
                <w:color w:val="auto"/>
              </w:rPr>
              <w:t>:D5</w:t>
            </w:r>
          </w:p>
          <w:p w14:paraId="7ECFC12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11</w:t>
            </w:r>
            <w:r>
              <w:rPr>
                <w:rFonts w:hint="eastAsia" w:ascii="宋体" w:hAnsi="宋体" w:cs="Times New Roman"/>
                <w:color w:val="auto"/>
              </w:rPr>
              <w:t>、环境等级</w:t>
            </w:r>
            <w:r>
              <w:rPr>
                <w:rFonts w:hint="eastAsia"/>
                <w:color w:val="auto"/>
              </w:rPr>
              <w:t>:B</w:t>
            </w:r>
            <w:r>
              <w:rPr>
                <w:rFonts w:hint="eastAsia" w:ascii="宋体" w:hAnsi="宋体" w:cs="Times New Roman"/>
                <w:color w:val="auto"/>
              </w:rPr>
              <w:t>级</w:t>
            </w:r>
          </w:p>
          <w:p w14:paraId="3AE43E7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12</w:t>
            </w:r>
            <w:r>
              <w:rPr>
                <w:rFonts w:hint="eastAsia" w:ascii="宋体" w:hAnsi="宋体" w:cs="Times New Roman"/>
                <w:color w:val="auto"/>
              </w:rPr>
              <w:t>、电磁环境等级</w:t>
            </w:r>
            <w:r>
              <w:rPr>
                <w:rFonts w:hint="eastAsia"/>
                <w:color w:val="auto"/>
              </w:rPr>
              <w:t>:E1</w:t>
            </w:r>
            <w:r>
              <w:rPr>
                <w:rFonts w:hint="eastAsia" w:ascii="宋体" w:hAnsi="宋体" w:cs="Times New Roman"/>
                <w:color w:val="auto"/>
              </w:rPr>
              <w:t>级</w:t>
            </w:r>
          </w:p>
          <w:p w14:paraId="5D7B7F1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13</w:t>
            </w:r>
            <w:r>
              <w:rPr>
                <w:rFonts w:hint="eastAsia" w:ascii="宋体" w:hAnsi="宋体" w:cs="Times New Roman"/>
                <w:color w:val="auto"/>
              </w:rPr>
              <w:t>、水表的最大允许压力</w:t>
            </w:r>
            <w:r>
              <w:rPr>
                <w:rFonts w:hint="eastAsia"/>
                <w:color w:val="auto"/>
              </w:rPr>
              <w:t>(MAP)</w:t>
            </w:r>
            <w:r>
              <w:rPr>
                <w:rFonts w:hint="eastAsia" w:ascii="宋体" w:hAnsi="宋体" w:cs="Times New Roman"/>
                <w:color w:val="auto"/>
              </w:rPr>
              <w:t xml:space="preserve">至少为 </w:t>
            </w:r>
            <w:r>
              <w:rPr>
                <w:rFonts w:hint="eastAsia"/>
                <w:color w:val="auto"/>
              </w:rPr>
              <w:t>1MPa</w:t>
            </w:r>
          </w:p>
          <w:p w14:paraId="54CA899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14</w:t>
            </w:r>
            <w:r>
              <w:rPr>
                <w:rFonts w:hint="eastAsia" w:ascii="宋体" w:hAnsi="宋体" w:cs="Times New Roman"/>
                <w:color w:val="auto"/>
              </w:rPr>
              <w:t>、水表在承受</w:t>
            </w:r>
            <w:r>
              <w:rPr>
                <w:rFonts w:hint="eastAsia"/>
                <w:color w:val="auto"/>
              </w:rPr>
              <w:t>1.6</w:t>
            </w:r>
            <w:r>
              <w:rPr>
                <w:rFonts w:hint="eastAsia" w:ascii="宋体" w:hAnsi="宋体" w:cs="Times New Roman"/>
                <w:color w:val="auto"/>
              </w:rPr>
              <w:t>倍最大允许压力，施加</w:t>
            </w:r>
            <w:r>
              <w:rPr>
                <w:rFonts w:hint="eastAsia"/>
                <w:color w:val="auto"/>
              </w:rPr>
              <w:t>15min</w:t>
            </w:r>
            <w:r>
              <w:rPr>
                <w:rFonts w:hint="eastAsia" w:ascii="宋体" w:hAnsi="宋体" w:cs="Times New Roman"/>
                <w:color w:val="auto"/>
              </w:rPr>
              <w:t>的试验压力下而不发生渗漏、泄露或损坏。</w:t>
            </w:r>
          </w:p>
          <w:p w14:paraId="6490401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15</w:t>
            </w:r>
            <w:r>
              <w:rPr>
                <w:rFonts w:hint="eastAsia" w:ascii="宋体" w:hAnsi="宋体" w:cs="Times New Roman"/>
                <w:color w:val="auto"/>
              </w:rPr>
              <w:t>、水表在承受</w:t>
            </w:r>
            <w:r>
              <w:rPr>
                <w:rFonts w:hint="eastAsia"/>
                <w:color w:val="auto"/>
              </w:rPr>
              <w:t>2</w:t>
            </w:r>
            <w:r>
              <w:rPr>
                <w:rFonts w:hint="eastAsia" w:ascii="宋体" w:hAnsi="宋体" w:cs="Times New Roman"/>
                <w:color w:val="auto"/>
              </w:rPr>
              <w:t>倍最大允许压力，施加</w:t>
            </w:r>
            <w:r>
              <w:rPr>
                <w:rFonts w:hint="eastAsia"/>
                <w:color w:val="auto"/>
              </w:rPr>
              <w:t>1min</w:t>
            </w:r>
            <w:r>
              <w:rPr>
                <w:rFonts w:hint="eastAsia" w:ascii="宋体" w:hAnsi="宋体" w:cs="Times New Roman"/>
                <w:color w:val="auto"/>
              </w:rPr>
              <w:t>的试验压力下而不发生渗漏、泄露或损坏。</w:t>
            </w:r>
          </w:p>
          <w:p w14:paraId="336E5DB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16</w:t>
            </w:r>
            <w:r>
              <w:rPr>
                <w:rFonts w:hint="eastAsia" w:ascii="宋体" w:hAnsi="宋体" w:cs="Times New Roman"/>
                <w:color w:val="auto"/>
              </w:rPr>
              <w:t>、在</w:t>
            </w:r>
            <w:r>
              <w:rPr>
                <w:rFonts w:hint="eastAsia"/>
                <w:color w:val="auto"/>
              </w:rPr>
              <w:t>0.04m</w:t>
            </w:r>
            <w:r>
              <w:rPr>
                <w:rFonts w:hint="eastAsia" w:ascii="宋体" w:hAnsi="宋体" w:cs="Times New Roman"/>
                <w:color w:val="auto"/>
              </w:rPr>
              <w:t>³</w:t>
            </w:r>
            <w:r>
              <w:rPr>
                <w:rFonts w:hint="eastAsia"/>
                <w:color w:val="auto"/>
              </w:rPr>
              <w:t>/h</w:t>
            </w:r>
            <w:r>
              <w:rPr>
                <w:rFonts w:hint="eastAsia" w:ascii="宋体" w:hAnsi="宋体" w:cs="Times New Roman"/>
                <w:color w:val="auto"/>
              </w:rPr>
              <w:t>试验下，固有示值误差在</w:t>
            </w:r>
            <w:r>
              <w:rPr>
                <w:rFonts w:hint="eastAsia"/>
                <w:color w:val="auto"/>
              </w:rPr>
              <w:t>-2%</w:t>
            </w:r>
            <w:r>
              <w:rPr>
                <w:rFonts w:hint="eastAsia" w:ascii="宋体" w:hAnsi="宋体" w:cs="Times New Roman"/>
                <w:color w:val="auto"/>
              </w:rPr>
              <w:t>≤δ≤</w:t>
            </w:r>
            <w:r>
              <w:rPr>
                <w:rFonts w:hint="eastAsia"/>
                <w:color w:val="auto"/>
              </w:rPr>
              <w:t>2%</w:t>
            </w:r>
            <w:r>
              <w:rPr>
                <w:rFonts w:hint="eastAsia" w:ascii="宋体" w:hAnsi="宋体" w:cs="Times New Roman"/>
                <w:color w:val="auto"/>
              </w:rPr>
              <w:t>范围内。</w:t>
            </w:r>
          </w:p>
          <w:p w14:paraId="22C4AB3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cs="Times New Roman"/>
                <w:color w:val="auto"/>
              </w:rPr>
              <w:t>17</w:t>
            </w:r>
            <w:r>
              <w:rPr>
                <w:rFonts w:hint="eastAsia" w:ascii="宋体" w:hAnsi="宋体" w:cs="Times New Roman"/>
                <w:color w:val="auto"/>
              </w:rPr>
              <w:t>、水温保持在</w:t>
            </w:r>
            <w:r>
              <w:rPr>
                <w:rFonts w:cs="Times New Roman"/>
                <w:color w:val="auto"/>
              </w:rPr>
              <w:t>(10±5)</w:t>
            </w:r>
            <w:r>
              <w:rPr>
                <w:rFonts w:hint="eastAsia" w:ascii="宋体" w:hAnsi="宋体" w:cs="Times New Roman"/>
                <w:color w:val="auto"/>
              </w:rPr>
              <w:t>℃</w:t>
            </w:r>
            <w:r>
              <w:rPr>
                <w:rFonts w:cs="Times New Roman"/>
                <w:color w:val="auto"/>
              </w:rPr>
              <w:t>,</w:t>
            </w:r>
            <w:r>
              <w:rPr>
                <w:rFonts w:hint="eastAsia" w:ascii="宋体" w:hAnsi="宋体" w:cs="Times New Roman"/>
                <w:color w:val="auto"/>
              </w:rPr>
              <w:t>在</w:t>
            </w:r>
            <w:r>
              <w:rPr>
                <w:rFonts w:cs="Times New Roman"/>
                <w:color w:val="auto"/>
              </w:rPr>
              <w:t>Q₂</w:t>
            </w:r>
            <w:r>
              <w:rPr>
                <w:rFonts w:hint="eastAsia" w:ascii="宋体" w:hAnsi="宋体" w:cs="Times New Roman"/>
                <w:color w:val="auto"/>
              </w:rPr>
              <w:t>流量下</w:t>
            </w:r>
            <w:r>
              <w:rPr>
                <w:rFonts w:cs="Times New Roman"/>
                <w:color w:val="auto"/>
              </w:rPr>
              <w:t xml:space="preserve"> </w:t>
            </w:r>
            <w:r>
              <w:rPr>
                <w:rFonts w:hint="eastAsia" w:ascii="宋体" w:hAnsi="宋体" w:cs="Times New Roman"/>
                <w:color w:val="auto"/>
              </w:rPr>
              <w:t>测量水表的示值误差为</w:t>
            </w:r>
            <w:r>
              <w:rPr>
                <w:rFonts w:cs="Times New Roman"/>
                <w:color w:val="auto"/>
              </w:rPr>
              <w:t>-1.10%</w:t>
            </w:r>
          </w:p>
          <w:p w14:paraId="291A0FD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cs="Times New Roman"/>
                <w:color w:val="auto"/>
              </w:rPr>
              <w:t>18</w:t>
            </w:r>
            <w:r>
              <w:rPr>
                <w:rFonts w:hint="eastAsia" w:ascii="宋体" w:hAnsi="宋体" w:cs="Times New Roman"/>
                <w:color w:val="auto"/>
              </w:rPr>
              <w:t>、水温保持在最高允许温度</w:t>
            </w:r>
            <w:r>
              <w:rPr>
                <w:rFonts w:cs="Times New Roman"/>
                <w:color w:val="auto"/>
              </w:rPr>
              <w:t>MAT,</w:t>
            </w:r>
            <w:r>
              <w:rPr>
                <w:rFonts w:hint="eastAsia" w:ascii="宋体" w:hAnsi="宋体" w:cs="Times New Roman"/>
                <w:color w:val="auto"/>
              </w:rPr>
              <w:t>允许偏差</w:t>
            </w:r>
            <w:r>
              <w:rPr>
                <w:rFonts w:cs="Times New Roman"/>
                <w:color w:val="auto"/>
              </w:rPr>
              <w:t>-5</w:t>
            </w:r>
            <w:r>
              <w:rPr>
                <w:rFonts w:hint="eastAsia" w:ascii="宋体" w:hAnsi="宋体" w:cs="Times New Roman"/>
                <w:color w:val="auto"/>
              </w:rPr>
              <w:t>℃</w:t>
            </w:r>
            <w:r>
              <w:rPr>
                <w:rFonts w:cs="Times New Roman"/>
                <w:color w:val="auto"/>
              </w:rPr>
              <w:t>~0</w:t>
            </w:r>
            <w:r>
              <w:rPr>
                <w:rFonts w:hint="eastAsia" w:ascii="宋体" w:hAnsi="宋体" w:cs="Times New Roman"/>
                <w:color w:val="auto"/>
              </w:rPr>
              <w:t>℃</w:t>
            </w:r>
            <w:r>
              <w:rPr>
                <w:rFonts w:cs="Times New Roman"/>
                <w:color w:val="auto"/>
              </w:rPr>
              <w:t>,</w:t>
            </w:r>
            <w:r>
              <w:rPr>
                <w:rFonts w:hint="eastAsia" w:ascii="宋体" w:hAnsi="宋体" w:cs="Times New Roman"/>
                <w:color w:val="auto"/>
              </w:rPr>
              <w:t>在</w:t>
            </w:r>
            <w:r>
              <w:rPr>
                <w:rFonts w:cs="Times New Roman"/>
                <w:color w:val="auto"/>
              </w:rPr>
              <w:t>Q₂</w:t>
            </w:r>
            <w:r>
              <w:rPr>
                <w:rFonts w:hint="eastAsia" w:ascii="宋体" w:hAnsi="宋体" w:cs="Times New Roman"/>
                <w:color w:val="auto"/>
              </w:rPr>
              <w:t>流量下测量水表的示值误差为</w:t>
            </w:r>
            <w:r>
              <w:rPr>
                <w:rFonts w:cs="Times New Roman"/>
                <w:color w:val="auto"/>
              </w:rPr>
              <w:t>-0.90%</w:t>
            </w:r>
          </w:p>
          <w:p w14:paraId="54931C2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cs="Times New Roman"/>
                <w:color w:val="auto"/>
              </w:rPr>
              <w:t>19</w:t>
            </w:r>
            <w:r>
              <w:rPr>
                <w:rFonts w:hint="eastAsia" w:ascii="宋体" w:hAnsi="宋体" w:cs="Times New Roman"/>
                <w:color w:val="auto"/>
              </w:rPr>
              <w:t>、水表入口水压保持在</w:t>
            </w:r>
            <w:r>
              <w:rPr>
                <w:rFonts w:cs="Times New Roman"/>
                <w:color w:val="auto"/>
              </w:rPr>
              <w:t>0.03MPa,</w:t>
            </w:r>
            <w:r>
              <w:rPr>
                <w:rFonts w:hint="eastAsia" w:ascii="宋体" w:hAnsi="宋体" w:cs="Times New Roman"/>
                <w:color w:val="auto"/>
              </w:rPr>
              <w:t>允许</w:t>
            </w:r>
            <w:r>
              <w:rPr>
                <w:rFonts w:cs="Times New Roman"/>
                <w:color w:val="auto"/>
              </w:rPr>
              <w:t xml:space="preserve"> </w:t>
            </w:r>
            <w:r>
              <w:rPr>
                <w:rFonts w:hint="eastAsia" w:ascii="宋体" w:hAnsi="宋体" w:cs="Times New Roman"/>
                <w:color w:val="auto"/>
              </w:rPr>
              <w:t>偏差</w:t>
            </w:r>
            <w:r>
              <w:rPr>
                <w:rFonts w:cs="Times New Roman"/>
                <w:color w:val="auto"/>
              </w:rPr>
              <w:t>5%</w:t>
            </w:r>
            <w:r>
              <w:rPr>
                <w:rFonts w:hint="eastAsia" w:ascii="宋体" w:hAnsi="宋体" w:cs="Times New Roman"/>
                <w:color w:val="auto"/>
              </w:rPr>
              <w:t>～</w:t>
            </w:r>
            <w:r>
              <w:rPr>
                <w:rFonts w:cs="Times New Roman"/>
                <w:color w:val="auto"/>
              </w:rPr>
              <w:t>0%,</w:t>
            </w:r>
            <w:r>
              <w:rPr>
                <w:rFonts w:hint="eastAsia" w:ascii="宋体" w:hAnsi="宋体" w:cs="Times New Roman"/>
                <w:color w:val="auto"/>
              </w:rPr>
              <w:t>在</w:t>
            </w:r>
            <w:r>
              <w:rPr>
                <w:rFonts w:cs="Times New Roman"/>
                <w:color w:val="auto"/>
              </w:rPr>
              <w:t>Q₂</w:t>
            </w:r>
            <w:r>
              <w:rPr>
                <w:rFonts w:hint="eastAsia" w:ascii="宋体" w:hAnsi="宋体" w:cs="Times New Roman"/>
                <w:color w:val="auto"/>
              </w:rPr>
              <w:t>流量下测量水表的示值误差为</w:t>
            </w:r>
            <w:r>
              <w:rPr>
                <w:rFonts w:cs="Times New Roman"/>
                <w:color w:val="auto"/>
              </w:rPr>
              <w:t>-0.70%</w:t>
            </w:r>
          </w:p>
          <w:p w14:paraId="6062AB4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cs="Times New Roman"/>
                <w:color w:val="auto"/>
              </w:rPr>
              <w:t>20</w:t>
            </w:r>
            <w:r>
              <w:rPr>
                <w:rFonts w:hint="eastAsia" w:ascii="宋体" w:hAnsi="宋体" w:cs="Times New Roman"/>
                <w:color w:val="auto"/>
              </w:rPr>
              <w:t>、水表入口压力保持在</w:t>
            </w:r>
            <w:r>
              <w:rPr>
                <w:rFonts w:cs="Times New Roman"/>
                <w:color w:val="auto"/>
              </w:rPr>
              <w:t>MAP,</w:t>
            </w:r>
            <w:r>
              <w:rPr>
                <w:rFonts w:hint="eastAsia" w:ascii="宋体" w:hAnsi="宋体" w:cs="Times New Roman"/>
                <w:color w:val="auto"/>
              </w:rPr>
              <w:t>允许偏差</w:t>
            </w:r>
            <w:r>
              <w:rPr>
                <w:rFonts w:cs="Times New Roman"/>
                <w:color w:val="auto"/>
              </w:rPr>
              <w:t>0%</w:t>
            </w:r>
            <w:r>
              <w:rPr>
                <w:rFonts w:hint="eastAsia" w:ascii="宋体" w:hAnsi="宋体" w:cs="Times New Roman"/>
                <w:color w:val="auto"/>
              </w:rPr>
              <w:t>～</w:t>
            </w:r>
            <w:r>
              <w:rPr>
                <w:rFonts w:cs="Times New Roman"/>
                <w:color w:val="auto"/>
              </w:rPr>
              <w:t>-10%,</w:t>
            </w:r>
            <w:r>
              <w:rPr>
                <w:rFonts w:hint="eastAsia" w:ascii="宋体" w:hAnsi="宋体" w:cs="Times New Roman"/>
                <w:color w:val="auto"/>
              </w:rPr>
              <w:t>在</w:t>
            </w:r>
            <w:r>
              <w:rPr>
                <w:rFonts w:cs="Times New Roman"/>
                <w:color w:val="auto"/>
              </w:rPr>
              <w:t>Q₂</w:t>
            </w:r>
            <w:r>
              <w:rPr>
                <w:rFonts w:hint="eastAsia" w:ascii="宋体" w:hAnsi="宋体" w:cs="Times New Roman"/>
                <w:color w:val="auto"/>
              </w:rPr>
              <w:t>流量下测量水表的示值误差为</w:t>
            </w:r>
            <w:r>
              <w:rPr>
                <w:rFonts w:cs="Times New Roman"/>
                <w:color w:val="auto"/>
              </w:rPr>
              <w:t>-0.90%</w:t>
            </w:r>
          </w:p>
          <w:p w14:paraId="5614222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hint="eastAsia"/>
                <w:color w:val="auto"/>
              </w:rPr>
              <w:t>21</w:t>
            </w:r>
            <w:r>
              <w:rPr>
                <w:rFonts w:hint="eastAsia" w:ascii="宋体" w:hAnsi="宋体" w:cs="Times New Roman"/>
                <w:color w:val="auto"/>
              </w:rPr>
              <w:t>、水表辅助装置试验期间，临时或永久安装的辅助装置，辅助装置上的体积示值与主示值之间的差异应不大于一个显示分度值</w:t>
            </w:r>
          </w:p>
          <w:p w14:paraId="4E925CB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22</w:t>
            </w:r>
            <w:r>
              <w:rPr>
                <w:rFonts w:hint="eastAsia" w:ascii="宋体" w:hAnsi="宋体" w:cs="Times New Roman"/>
                <w:color w:val="auto"/>
              </w:rPr>
              <w:t>、水表辅助装置试验期间，机电转换误差不超过±</w:t>
            </w:r>
            <w:r>
              <w:rPr>
                <w:rFonts w:hint="eastAsia"/>
                <w:color w:val="auto"/>
              </w:rPr>
              <w:t>1</w:t>
            </w:r>
            <w:r>
              <w:rPr>
                <w:rFonts w:hint="eastAsia" w:ascii="宋体" w:hAnsi="宋体" w:cs="Times New Roman"/>
                <w:color w:val="auto"/>
              </w:rPr>
              <w:t>个脉冲当量，一个最小转换分度值为</w:t>
            </w:r>
            <w:r>
              <w:rPr>
                <w:rFonts w:hint="eastAsia"/>
                <w:color w:val="auto"/>
              </w:rPr>
              <w:t>0.0018m</w:t>
            </w:r>
            <w:r>
              <w:rPr>
                <w:rFonts w:hint="eastAsia" w:ascii="宋体" w:hAnsi="宋体" w:cs="Times New Roman"/>
                <w:color w:val="auto"/>
              </w:rPr>
              <w:t>³，</w:t>
            </w:r>
          </w:p>
          <w:p w14:paraId="2531EB7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cs="Times New Roman"/>
                <w:color w:val="auto"/>
              </w:rPr>
              <w:t>23</w:t>
            </w:r>
            <w:r>
              <w:rPr>
                <w:rFonts w:hint="eastAsia" w:ascii="宋体" w:hAnsi="宋体" w:cs="Times New Roman"/>
                <w:color w:val="auto"/>
              </w:rPr>
              <w:t>、内静磁场施加试验条件期间在</w:t>
            </w:r>
            <w:r>
              <w:rPr>
                <w:rFonts w:cs="Times New Roman"/>
                <w:color w:val="auto"/>
              </w:rPr>
              <w:t>Q₃</w:t>
            </w:r>
            <w:r>
              <w:rPr>
                <w:rFonts w:hint="eastAsia" w:ascii="宋体" w:hAnsi="宋体" w:cs="Times New Roman"/>
                <w:color w:val="auto"/>
              </w:rPr>
              <w:t>流量下测量水表的示值误差应不超过高区的最大允许误差为</w:t>
            </w:r>
            <w:r>
              <w:rPr>
                <w:rFonts w:cs="Times New Roman"/>
                <w:color w:val="auto"/>
              </w:rPr>
              <w:t>0.48%</w:t>
            </w:r>
            <w:r>
              <w:rPr>
                <w:rFonts w:hint="eastAsia" w:ascii="宋体" w:hAnsi="宋体" w:cs="Times New Roman"/>
                <w:color w:val="auto"/>
              </w:rPr>
              <w:t>，在</w:t>
            </w:r>
            <w:r>
              <w:rPr>
                <w:rFonts w:cs="Times New Roman"/>
                <w:color w:val="auto"/>
              </w:rPr>
              <w:t>(-2%</w:t>
            </w:r>
            <w:r>
              <w:rPr>
                <w:rFonts w:hint="eastAsia" w:ascii="宋体" w:hAnsi="宋体" w:cs="Times New Roman"/>
                <w:color w:val="auto"/>
              </w:rPr>
              <w:t>≤δ≤</w:t>
            </w:r>
            <w:r>
              <w:rPr>
                <w:rFonts w:cs="Times New Roman"/>
                <w:color w:val="auto"/>
              </w:rPr>
              <w:t>2%)</w:t>
            </w:r>
            <w:r>
              <w:rPr>
                <w:rFonts w:hint="eastAsia" w:ascii="宋体" w:hAnsi="宋体" w:cs="Times New Roman"/>
                <w:color w:val="auto"/>
              </w:rPr>
              <w:t>范围内；</w:t>
            </w:r>
          </w:p>
          <w:p w14:paraId="4D76F89D">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cs="Times New Roman"/>
                <w:color w:val="auto"/>
              </w:rPr>
            </w:pPr>
            <w:r>
              <w:rPr>
                <w:rFonts w:hint="eastAsia"/>
                <w:color w:val="auto"/>
              </w:rPr>
              <w:t>24</w:t>
            </w:r>
            <w:r>
              <w:rPr>
                <w:rFonts w:hint="eastAsia" w:ascii="宋体" w:hAnsi="宋体" w:cs="Times New Roman"/>
                <w:color w:val="auto"/>
              </w:rPr>
              <w:t>、静磁场施加试验条件期间，水表功能检查正常</w:t>
            </w:r>
          </w:p>
          <w:p w14:paraId="36CB356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25</w:t>
            </w:r>
            <w:r>
              <w:rPr>
                <w:rFonts w:hint="eastAsia" w:ascii="宋体" w:hAnsi="宋体" w:cs="Times New Roman"/>
                <w:color w:val="auto"/>
              </w:rPr>
              <w:t>、静磁场施加试验条件期间，机电转换误差：不超过±</w:t>
            </w:r>
            <w:r>
              <w:rPr>
                <w:rFonts w:hint="eastAsia"/>
                <w:color w:val="auto"/>
              </w:rPr>
              <w:t>1</w:t>
            </w:r>
            <w:r>
              <w:rPr>
                <w:rFonts w:hint="eastAsia" w:ascii="宋体" w:hAnsi="宋体" w:cs="Times New Roman"/>
                <w:color w:val="auto"/>
              </w:rPr>
              <w:t>个脉冲当量，一个最小转换分度值为</w:t>
            </w:r>
            <w:r>
              <w:rPr>
                <w:rFonts w:hint="eastAsia"/>
                <w:color w:val="auto"/>
              </w:rPr>
              <w:t>-0.0074m</w:t>
            </w:r>
            <w:r>
              <w:rPr>
                <w:rFonts w:hint="eastAsia" w:ascii="宋体" w:hAnsi="宋体" w:cs="Times New Roman"/>
                <w:color w:val="auto"/>
              </w:rPr>
              <w:t>³</w:t>
            </w:r>
          </w:p>
          <w:p w14:paraId="4058359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26</w:t>
            </w:r>
            <w:r>
              <w:rPr>
                <w:rFonts w:hint="eastAsia" w:ascii="宋体" w:hAnsi="宋体" w:cs="Times New Roman"/>
                <w:color w:val="auto"/>
              </w:rPr>
              <w:t>、在</w:t>
            </w:r>
            <w:r>
              <w:rPr>
                <w:rFonts w:hint="eastAsia"/>
                <w:color w:val="auto"/>
              </w:rPr>
              <w:t>Q1</w:t>
            </w:r>
            <w:r>
              <w:rPr>
                <w:rFonts w:hint="eastAsia" w:ascii="宋体" w:hAnsi="宋体" w:cs="Times New Roman"/>
                <w:color w:val="auto"/>
              </w:rPr>
              <w:t>～</w:t>
            </w:r>
            <w:r>
              <w:rPr>
                <w:rFonts w:hint="eastAsia"/>
                <w:color w:val="auto"/>
              </w:rPr>
              <w:t>Q3</w:t>
            </w:r>
            <w:r>
              <w:rPr>
                <w:rFonts w:hint="eastAsia" w:ascii="宋体" w:hAnsi="宋体" w:cs="Times New Roman"/>
                <w:color w:val="auto"/>
              </w:rPr>
              <w:t>范围内的任何一个流量下通过水表的最大压力损失不超过</w:t>
            </w:r>
            <w:r>
              <w:rPr>
                <w:rFonts w:hint="eastAsia"/>
                <w:color w:val="auto"/>
              </w:rPr>
              <w:t>0.059MPa</w:t>
            </w:r>
          </w:p>
          <w:p w14:paraId="3CB451C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27</w:t>
            </w:r>
            <w:r>
              <w:rPr>
                <w:rFonts w:hint="eastAsia" w:ascii="宋体" w:hAnsi="宋体" w:cs="Times New Roman"/>
                <w:color w:val="auto"/>
              </w:rPr>
              <w:t>、在环境等级为</w:t>
            </w:r>
            <w:r>
              <w:rPr>
                <w:rFonts w:hint="eastAsia"/>
                <w:color w:val="auto"/>
              </w:rPr>
              <w:t>B</w:t>
            </w:r>
            <w:r>
              <w:rPr>
                <w:rFonts w:hint="eastAsia" w:ascii="宋体" w:hAnsi="宋体" w:cs="Times New Roman"/>
                <w:color w:val="auto"/>
              </w:rPr>
              <w:t>级、严酷度等级为</w:t>
            </w:r>
            <w:r>
              <w:rPr>
                <w:rFonts w:hint="eastAsia"/>
                <w:color w:val="auto"/>
              </w:rPr>
              <w:t>3</w:t>
            </w:r>
            <w:r>
              <w:rPr>
                <w:rFonts w:hint="eastAsia" w:ascii="宋体" w:hAnsi="宋体" w:cs="Times New Roman"/>
                <w:color w:val="auto"/>
              </w:rPr>
              <w:t>级、环境温度在</w:t>
            </w:r>
            <w:r>
              <w:rPr>
                <w:rFonts w:hint="eastAsia"/>
                <w:color w:val="auto"/>
              </w:rPr>
              <w:t>(55</w:t>
            </w:r>
            <w:r>
              <w:rPr>
                <w:rFonts w:hint="eastAsia" w:ascii="宋体" w:hAnsi="宋体" w:cs="Times New Roman"/>
                <w:color w:val="auto"/>
              </w:rPr>
              <w:t>±</w:t>
            </w:r>
            <w:r>
              <w:rPr>
                <w:rFonts w:hint="eastAsia"/>
                <w:color w:val="auto"/>
              </w:rPr>
              <w:t>2)</w:t>
            </w:r>
            <w:r>
              <w:rPr>
                <w:rFonts w:hint="eastAsia" w:ascii="宋体" w:hAnsi="宋体" w:cs="Times New Roman"/>
                <w:color w:val="auto"/>
              </w:rPr>
              <w:t>℃的环境下，经过持续</w:t>
            </w:r>
            <w:r>
              <w:rPr>
                <w:rFonts w:hint="eastAsia"/>
                <w:color w:val="auto"/>
              </w:rPr>
              <w:t>2h</w:t>
            </w:r>
            <w:r>
              <w:rPr>
                <w:rFonts w:hint="eastAsia" w:ascii="宋体" w:hAnsi="宋体" w:cs="Times New Roman"/>
                <w:color w:val="auto"/>
              </w:rPr>
              <w:t>循环</w:t>
            </w:r>
            <w:r>
              <w:rPr>
                <w:rFonts w:hint="eastAsia"/>
                <w:color w:val="auto"/>
              </w:rPr>
              <w:t>1</w:t>
            </w:r>
            <w:r>
              <w:rPr>
                <w:rFonts w:hint="eastAsia" w:ascii="宋体" w:hAnsi="宋体" w:cs="Times New Roman"/>
                <w:color w:val="auto"/>
              </w:rPr>
              <w:t>次的高温（无冷凝）试验：</w:t>
            </w:r>
          </w:p>
          <w:p w14:paraId="3EE4079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a)</w:t>
            </w:r>
            <w:r>
              <w:rPr>
                <w:rFonts w:hint="eastAsia" w:cs="Times New Roman"/>
                <w:color w:val="auto"/>
              </w:rPr>
              <w:tab/>
            </w:r>
            <w:r>
              <w:rPr>
                <w:rFonts w:hint="eastAsia" w:ascii="宋体" w:hAnsi="宋体" w:cs="Times New Roman"/>
                <w:color w:val="auto"/>
              </w:rPr>
              <w:t>施加试验条件期间，水表功能检查正常</w:t>
            </w:r>
          </w:p>
          <w:p w14:paraId="4D32B98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b)</w:t>
            </w:r>
            <w:r>
              <w:rPr>
                <w:rFonts w:hint="eastAsia" w:cs="Times New Roman"/>
                <w:color w:val="auto"/>
              </w:rPr>
              <w:tab/>
            </w:r>
            <w:r>
              <w:rPr>
                <w:rFonts w:hint="eastAsia" w:ascii="宋体" w:hAnsi="宋体" w:cs="Times New Roman"/>
                <w:color w:val="auto"/>
              </w:rPr>
              <w:t>机电转换误差不超过±</w:t>
            </w:r>
            <w:r>
              <w:rPr>
                <w:rFonts w:hint="eastAsia"/>
                <w:color w:val="auto"/>
              </w:rPr>
              <w:t>1</w:t>
            </w:r>
            <w:r>
              <w:rPr>
                <w:rFonts w:hint="eastAsia" w:ascii="宋体" w:hAnsi="宋体" w:cs="Times New Roman"/>
                <w:color w:val="auto"/>
              </w:rPr>
              <w:t>个脉冲当量，一个最小转换分度值为</w:t>
            </w:r>
            <w:r>
              <w:rPr>
                <w:rFonts w:hint="eastAsia"/>
                <w:color w:val="auto"/>
              </w:rPr>
              <w:t>-0.0017m</w:t>
            </w:r>
            <w:r>
              <w:rPr>
                <w:rFonts w:hint="eastAsia" w:ascii="宋体" w:hAnsi="宋体" w:cs="Times New Roman"/>
                <w:color w:val="auto"/>
              </w:rPr>
              <w:t>³</w:t>
            </w:r>
          </w:p>
          <w:p w14:paraId="72D3E80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cs="Times New Roman"/>
                <w:color w:val="auto"/>
              </w:rPr>
            </w:pPr>
            <w:r>
              <w:rPr>
                <w:rFonts w:hint="eastAsia"/>
                <w:color w:val="auto"/>
              </w:rPr>
              <w:t>28</w:t>
            </w:r>
            <w:r>
              <w:rPr>
                <w:rFonts w:hint="eastAsia" w:ascii="宋体" w:hAnsi="宋体" w:cs="Times New Roman"/>
                <w:color w:val="auto"/>
              </w:rPr>
              <w:t>、在环境等级为</w:t>
            </w:r>
            <w:r>
              <w:rPr>
                <w:rFonts w:hint="eastAsia"/>
                <w:color w:val="auto"/>
              </w:rPr>
              <w:t>B</w:t>
            </w:r>
            <w:r>
              <w:rPr>
                <w:rFonts w:hint="eastAsia" w:ascii="宋体" w:hAnsi="宋体" w:cs="Times New Roman"/>
                <w:color w:val="auto"/>
              </w:rPr>
              <w:t>级、严酷度等级为</w:t>
            </w:r>
            <w:r>
              <w:rPr>
                <w:rFonts w:hint="eastAsia"/>
                <w:color w:val="auto"/>
              </w:rPr>
              <w:t>1</w:t>
            </w:r>
            <w:r>
              <w:rPr>
                <w:rFonts w:hint="eastAsia" w:ascii="宋体" w:hAnsi="宋体" w:cs="Times New Roman"/>
                <w:color w:val="auto"/>
              </w:rPr>
              <w:t>级、环境温度在</w:t>
            </w:r>
            <w:r>
              <w:rPr>
                <w:rFonts w:hint="eastAsia"/>
                <w:color w:val="auto"/>
              </w:rPr>
              <w:t>(5</w:t>
            </w:r>
            <w:r>
              <w:rPr>
                <w:rFonts w:hint="eastAsia" w:ascii="宋体" w:hAnsi="宋体" w:cs="Times New Roman"/>
                <w:color w:val="auto"/>
              </w:rPr>
              <w:t>±</w:t>
            </w:r>
            <w:r>
              <w:rPr>
                <w:rFonts w:hint="eastAsia"/>
                <w:color w:val="auto"/>
              </w:rPr>
              <w:t>3)</w:t>
            </w:r>
            <w:r>
              <w:rPr>
                <w:rFonts w:hint="eastAsia" w:ascii="宋体" w:hAnsi="宋体" w:cs="Times New Roman"/>
                <w:color w:val="auto"/>
              </w:rPr>
              <w:t>℃的环境下，经过持续</w:t>
            </w:r>
            <w:r>
              <w:rPr>
                <w:rFonts w:hint="eastAsia"/>
                <w:color w:val="auto"/>
              </w:rPr>
              <w:t>2h</w:t>
            </w:r>
            <w:r>
              <w:rPr>
                <w:rFonts w:hint="eastAsia" w:ascii="宋体" w:hAnsi="宋体" w:cs="Times New Roman"/>
                <w:color w:val="auto"/>
              </w:rPr>
              <w:t>循环</w:t>
            </w:r>
            <w:r>
              <w:rPr>
                <w:rFonts w:hint="eastAsia"/>
                <w:color w:val="auto"/>
              </w:rPr>
              <w:t>1</w:t>
            </w:r>
            <w:r>
              <w:rPr>
                <w:rFonts w:hint="eastAsia" w:ascii="宋体" w:hAnsi="宋体" w:cs="Times New Roman"/>
                <w:color w:val="auto"/>
              </w:rPr>
              <w:t>次的低温试验：</w:t>
            </w:r>
          </w:p>
          <w:p w14:paraId="2C5AE749">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Times New Roman" w:hAnsi="Times New Roman" w:eastAsia="宋体" w:cs="Times New Roman"/>
                <w:color w:val="auto"/>
                <w:sz w:val="21"/>
                <w:szCs w:val="22"/>
              </w:rPr>
            </w:pPr>
            <w:r>
              <w:rPr>
                <w:rFonts w:hint="eastAsia"/>
                <w:color w:val="auto"/>
              </w:rPr>
              <w:t>a)</w:t>
            </w:r>
            <w:r>
              <w:rPr>
                <w:rFonts w:hint="eastAsia" w:cs="Times New Roman"/>
                <w:color w:val="auto"/>
              </w:rPr>
              <w:tab/>
            </w:r>
            <w:r>
              <w:rPr>
                <w:rFonts w:hint="eastAsia" w:ascii="宋体" w:hAnsi="宋体" w:cs="Times New Roman"/>
                <w:color w:val="auto"/>
              </w:rPr>
              <w:t>施加试验条件期间，水表功能检查正常</w:t>
            </w:r>
          </w:p>
        </w:tc>
        <w:tc>
          <w:tcPr>
            <w:tcW w:w="691" w:type="dxa"/>
            <w:tcBorders>
              <w:top w:val="single" w:color="auto" w:sz="4" w:space="0"/>
              <w:left w:val="nil"/>
              <w:bottom w:val="single" w:color="auto" w:sz="4" w:space="0"/>
              <w:right w:val="single" w:color="auto" w:sz="4" w:space="0"/>
            </w:tcBorders>
            <w:vAlign w:val="center"/>
          </w:tcPr>
          <w:p w14:paraId="5911867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只</w:t>
            </w:r>
          </w:p>
        </w:tc>
        <w:tc>
          <w:tcPr>
            <w:tcW w:w="673" w:type="dxa"/>
            <w:tcBorders>
              <w:top w:val="single" w:color="auto" w:sz="4" w:space="0"/>
              <w:left w:val="nil"/>
              <w:bottom w:val="single" w:color="auto" w:sz="4" w:space="0"/>
              <w:right w:val="single" w:color="auto" w:sz="4" w:space="0"/>
            </w:tcBorders>
            <w:vAlign w:val="center"/>
          </w:tcPr>
          <w:p w14:paraId="5D5FB84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19</w:t>
            </w:r>
          </w:p>
        </w:tc>
        <w:tc>
          <w:tcPr>
            <w:tcW w:w="881" w:type="dxa"/>
            <w:tcBorders>
              <w:top w:val="single" w:color="auto" w:sz="4" w:space="0"/>
              <w:left w:val="nil"/>
              <w:bottom w:val="single" w:color="auto" w:sz="4" w:space="0"/>
              <w:right w:val="single" w:color="auto" w:sz="4" w:space="0"/>
            </w:tcBorders>
            <w:shd w:val="clear" w:color="auto" w:fill="auto"/>
            <w:vAlign w:val="center"/>
          </w:tcPr>
          <w:p w14:paraId="58D79AC8">
            <w:pPr>
              <w:spacing w:line="560" w:lineRule="exact"/>
              <w:jc w:val="center"/>
              <w:rPr>
                <w:rFonts w:hint="eastAsia" w:ascii="宋体" w:hAnsi="宋体" w:eastAsia="宋体" w:cs="宋体"/>
                <w:color w:val="auto"/>
                <w:spacing w:val="6"/>
                <w:sz w:val="21"/>
                <w:szCs w:val="21"/>
                <w:lang w:val="en-US" w:eastAsia="zh-CN"/>
              </w:rPr>
            </w:pPr>
          </w:p>
        </w:tc>
        <w:tc>
          <w:tcPr>
            <w:tcW w:w="828" w:type="dxa"/>
            <w:tcBorders>
              <w:top w:val="single" w:color="auto" w:sz="4" w:space="0"/>
              <w:left w:val="nil"/>
              <w:bottom w:val="single" w:color="auto" w:sz="4" w:space="0"/>
              <w:right w:val="single" w:color="auto" w:sz="4" w:space="0"/>
            </w:tcBorders>
            <w:shd w:val="clear" w:color="auto" w:fill="auto"/>
            <w:vAlign w:val="center"/>
          </w:tcPr>
          <w:p w14:paraId="6A9D6264">
            <w:pPr>
              <w:spacing w:line="560" w:lineRule="exact"/>
              <w:jc w:val="center"/>
              <w:rPr>
                <w:rFonts w:hint="eastAsia" w:ascii="宋体" w:hAnsi="宋体" w:eastAsia="宋体" w:cs="宋体"/>
                <w:color w:val="auto"/>
                <w:spacing w:val="6"/>
                <w:sz w:val="21"/>
                <w:szCs w:val="21"/>
                <w:lang w:val="en-US" w:eastAsia="zh-CN"/>
              </w:rPr>
            </w:pPr>
          </w:p>
        </w:tc>
        <w:tc>
          <w:tcPr>
            <w:tcW w:w="1018" w:type="dxa"/>
            <w:tcBorders>
              <w:top w:val="single" w:color="auto" w:sz="4" w:space="0"/>
              <w:left w:val="nil"/>
              <w:bottom w:val="single" w:color="auto" w:sz="4" w:space="0"/>
              <w:right w:val="single" w:color="auto" w:sz="4" w:space="0"/>
            </w:tcBorders>
            <w:vAlign w:val="center"/>
          </w:tcPr>
          <w:p w14:paraId="143B7C9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2404C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37CC7A75">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eastAsia="zh-CN"/>
              </w:rPr>
            </w:pPr>
            <w:r>
              <w:rPr>
                <w:rFonts w:hint="eastAsia" w:ascii="宋体" w:hAnsi="宋体" w:cs="宋体"/>
                <w:color w:val="auto"/>
                <w:spacing w:val="6"/>
                <w:sz w:val="21"/>
                <w:szCs w:val="21"/>
                <w:lang w:val="en-US" w:eastAsia="zh-CN"/>
              </w:rPr>
              <w:t>5</w:t>
            </w:r>
          </w:p>
        </w:tc>
        <w:tc>
          <w:tcPr>
            <w:tcW w:w="1557" w:type="dxa"/>
            <w:tcBorders>
              <w:top w:val="single" w:color="auto" w:sz="4" w:space="0"/>
              <w:left w:val="nil"/>
              <w:bottom w:val="single" w:color="auto" w:sz="4" w:space="0"/>
              <w:right w:val="single" w:color="auto" w:sz="4" w:space="0"/>
            </w:tcBorders>
            <w:vAlign w:val="center"/>
          </w:tcPr>
          <w:p w14:paraId="55CC5E2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69B2107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z w:val="21"/>
                <w:szCs w:val="21"/>
              </w:rPr>
              <w:t>（DN20）</w:t>
            </w:r>
          </w:p>
        </w:tc>
        <w:tc>
          <w:tcPr>
            <w:tcW w:w="7677" w:type="dxa"/>
            <w:vMerge w:val="continue"/>
            <w:tcBorders>
              <w:left w:val="nil"/>
              <w:right w:val="single" w:color="auto" w:sz="4" w:space="0"/>
            </w:tcBorders>
            <w:vAlign w:val="center"/>
          </w:tcPr>
          <w:p w14:paraId="6A93375F">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60F6EAA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486C1DD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7</w:t>
            </w:r>
          </w:p>
        </w:tc>
        <w:tc>
          <w:tcPr>
            <w:tcW w:w="881" w:type="dxa"/>
            <w:tcBorders>
              <w:top w:val="single" w:color="auto" w:sz="4" w:space="0"/>
              <w:left w:val="nil"/>
              <w:bottom w:val="single" w:color="auto" w:sz="4" w:space="0"/>
              <w:right w:val="single" w:color="auto" w:sz="4" w:space="0"/>
            </w:tcBorders>
            <w:shd w:val="clear" w:color="auto" w:fill="auto"/>
            <w:vAlign w:val="center"/>
          </w:tcPr>
          <w:p w14:paraId="10784AC8">
            <w:pPr>
              <w:spacing w:line="560" w:lineRule="exact"/>
              <w:jc w:val="center"/>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shd w:val="clear" w:color="auto" w:fill="auto"/>
            <w:vAlign w:val="center"/>
          </w:tcPr>
          <w:p w14:paraId="3862251F">
            <w:pPr>
              <w:spacing w:line="560" w:lineRule="exact"/>
              <w:jc w:val="center"/>
              <w:rPr>
                <w:rFonts w:hint="eastAsia" w:ascii="宋体" w:hAnsi="宋体" w:eastAsia="宋体" w:cs="宋体"/>
                <w:color w:val="auto"/>
                <w:spacing w:val="6"/>
                <w:sz w:val="21"/>
                <w:szCs w:val="21"/>
                <w:lang w:val="en-US" w:eastAsia="zh-CN"/>
              </w:rPr>
            </w:pPr>
          </w:p>
        </w:tc>
        <w:tc>
          <w:tcPr>
            <w:tcW w:w="1018" w:type="dxa"/>
            <w:tcBorders>
              <w:top w:val="single" w:color="auto" w:sz="4" w:space="0"/>
              <w:left w:val="nil"/>
              <w:bottom w:val="single" w:color="auto" w:sz="4" w:space="0"/>
              <w:right w:val="single" w:color="auto" w:sz="4" w:space="0"/>
            </w:tcBorders>
            <w:vAlign w:val="center"/>
          </w:tcPr>
          <w:p w14:paraId="16895562">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水平安装</w:t>
            </w:r>
          </w:p>
        </w:tc>
      </w:tr>
      <w:tr w14:paraId="01F97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056BEF0E">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eastAsia="zh-CN"/>
              </w:rPr>
            </w:pPr>
            <w:r>
              <w:rPr>
                <w:rFonts w:hint="eastAsia" w:ascii="宋体" w:hAnsi="宋体" w:cs="宋体"/>
                <w:color w:val="auto"/>
                <w:spacing w:val="6"/>
                <w:sz w:val="21"/>
                <w:szCs w:val="21"/>
                <w:lang w:val="en-US" w:eastAsia="zh-CN"/>
              </w:rPr>
              <w:t>6</w:t>
            </w:r>
          </w:p>
        </w:tc>
        <w:tc>
          <w:tcPr>
            <w:tcW w:w="1557" w:type="dxa"/>
            <w:tcBorders>
              <w:top w:val="single" w:color="auto" w:sz="4" w:space="0"/>
              <w:left w:val="nil"/>
              <w:bottom w:val="single" w:color="auto" w:sz="4" w:space="0"/>
              <w:right w:val="single" w:color="auto" w:sz="4" w:space="0"/>
            </w:tcBorders>
            <w:vAlign w:val="center"/>
          </w:tcPr>
          <w:p w14:paraId="629CC2A6">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62B5C45F">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（DN40）</w:t>
            </w:r>
          </w:p>
        </w:tc>
        <w:tc>
          <w:tcPr>
            <w:tcW w:w="7677" w:type="dxa"/>
            <w:vMerge w:val="continue"/>
            <w:tcBorders>
              <w:left w:val="nil"/>
              <w:right w:val="single" w:color="auto" w:sz="4" w:space="0"/>
            </w:tcBorders>
            <w:vAlign w:val="center"/>
          </w:tcPr>
          <w:p w14:paraId="148C40DF">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267DE31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56BE4D2C">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w:t>
            </w:r>
          </w:p>
        </w:tc>
        <w:tc>
          <w:tcPr>
            <w:tcW w:w="881" w:type="dxa"/>
            <w:tcBorders>
              <w:top w:val="single" w:color="auto" w:sz="4" w:space="0"/>
              <w:left w:val="nil"/>
              <w:bottom w:val="single" w:color="auto" w:sz="4" w:space="0"/>
              <w:right w:val="single" w:color="auto" w:sz="4" w:space="0"/>
            </w:tcBorders>
            <w:shd w:val="clear" w:color="auto" w:fill="auto"/>
            <w:vAlign w:val="center"/>
          </w:tcPr>
          <w:p w14:paraId="231DD545">
            <w:pPr>
              <w:spacing w:line="560" w:lineRule="exact"/>
              <w:jc w:val="center"/>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shd w:val="clear" w:color="auto" w:fill="auto"/>
            <w:vAlign w:val="center"/>
          </w:tcPr>
          <w:p w14:paraId="5FB7275C">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57FB677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5A2DB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08201AE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eastAsia="zh-CN"/>
              </w:rPr>
            </w:pPr>
            <w:r>
              <w:rPr>
                <w:rFonts w:hint="eastAsia" w:ascii="宋体" w:hAnsi="宋体" w:cs="宋体"/>
                <w:color w:val="auto"/>
                <w:spacing w:val="6"/>
                <w:sz w:val="21"/>
                <w:szCs w:val="21"/>
                <w:lang w:val="en-US" w:eastAsia="zh-CN"/>
              </w:rPr>
              <w:t>7</w:t>
            </w:r>
          </w:p>
        </w:tc>
        <w:tc>
          <w:tcPr>
            <w:tcW w:w="1557" w:type="dxa"/>
            <w:tcBorders>
              <w:top w:val="single" w:color="auto" w:sz="4" w:space="0"/>
              <w:left w:val="nil"/>
              <w:bottom w:val="single" w:color="auto" w:sz="4" w:space="0"/>
              <w:right w:val="single" w:color="auto" w:sz="4" w:space="0"/>
            </w:tcBorders>
            <w:vAlign w:val="center"/>
          </w:tcPr>
          <w:p w14:paraId="07A480D4">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6AD024EB">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（DN50）</w:t>
            </w:r>
          </w:p>
        </w:tc>
        <w:tc>
          <w:tcPr>
            <w:tcW w:w="7677" w:type="dxa"/>
            <w:vMerge w:val="continue"/>
            <w:tcBorders>
              <w:left w:val="nil"/>
              <w:right w:val="single" w:color="auto" w:sz="4" w:space="0"/>
            </w:tcBorders>
            <w:vAlign w:val="center"/>
          </w:tcPr>
          <w:p w14:paraId="2CDC91EC">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13963E1C">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44A4945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881" w:type="dxa"/>
            <w:tcBorders>
              <w:top w:val="single" w:color="auto" w:sz="4" w:space="0"/>
              <w:left w:val="nil"/>
              <w:bottom w:val="single" w:color="auto" w:sz="4" w:space="0"/>
              <w:right w:val="single" w:color="auto" w:sz="4" w:space="0"/>
            </w:tcBorders>
            <w:shd w:val="clear" w:color="auto" w:fill="auto"/>
            <w:vAlign w:val="center"/>
          </w:tcPr>
          <w:p w14:paraId="7790FF3B">
            <w:pPr>
              <w:spacing w:line="560" w:lineRule="exact"/>
              <w:jc w:val="center"/>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shd w:val="clear" w:color="auto" w:fill="auto"/>
            <w:vAlign w:val="center"/>
          </w:tcPr>
          <w:p w14:paraId="296BA056">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4FF26CEA">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56B97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vAlign w:val="center"/>
          </w:tcPr>
          <w:p w14:paraId="5406144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eastAsia="zh-CN"/>
              </w:rPr>
            </w:pPr>
            <w:r>
              <w:rPr>
                <w:rFonts w:hint="eastAsia" w:ascii="宋体" w:hAnsi="宋体" w:cs="宋体"/>
                <w:color w:val="auto"/>
                <w:spacing w:val="6"/>
                <w:sz w:val="21"/>
                <w:szCs w:val="21"/>
                <w:lang w:val="en-US" w:eastAsia="zh-CN"/>
              </w:rPr>
              <w:t>8</w:t>
            </w:r>
          </w:p>
        </w:tc>
        <w:tc>
          <w:tcPr>
            <w:tcW w:w="1557" w:type="dxa"/>
            <w:tcBorders>
              <w:top w:val="single" w:color="auto" w:sz="4" w:space="0"/>
              <w:left w:val="nil"/>
              <w:bottom w:val="single" w:color="auto" w:sz="4" w:space="0"/>
              <w:right w:val="single" w:color="auto" w:sz="4" w:space="0"/>
            </w:tcBorders>
            <w:vAlign w:val="center"/>
          </w:tcPr>
          <w:p w14:paraId="0D28A91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4G远传水表</w:t>
            </w:r>
          </w:p>
          <w:p w14:paraId="1CC8895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（DN</w:t>
            </w: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5）</w:t>
            </w:r>
          </w:p>
        </w:tc>
        <w:tc>
          <w:tcPr>
            <w:tcW w:w="7677" w:type="dxa"/>
            <w:vMerge w:val="continue"/>
            <w:tcBorders>
              <w:left w:val="nil"/>
              <w:bottom w:val="single" w:color="auto" w:sz="4" w:space="0"/>
              <w:right w:val="single" w:color="auto" w:sz="4" w:space="0"/>
            </w:tcBorders>
            <w:vAlign w:val="center"/>
          </w:tcPr>
          <w:p w14:paraId="62652D79">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p>
        </w:tc>
        <w:tc>
          <w:tcPr>
            <w:tcW w:w="691" w:type="dxa"/>
            <w:tcBorders>
              <w:top w:val="single" w:color="auto" w:sz="4" w:space="0"/>
              <w:left w:val="nil"/>
              <w:bottom w:val="single" w:color="auto" w:sz="4" w:space="0"/>
              <w:right w:val="single" w:color="auto" w:sz="4" w:space="0"/>
            </w:tcBorders>
            <w:vAlign w:val="center"/>
          </w:tcPr>
          <w:p w14:paraId="6184FDA1">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只</w:t>
            </w:r>
          </w:p>
        </w:tc>
        <w:tc>
          <w:tcPr>
            <w:tcW w:w="673" w:type="dxa"/>
            <w:tcBorders>
              <w:top w:val="single" w:color="auto" w:sz="4" w:space="0"/>
              <w:left w:val="nil"/>
              <w:bottom w:val="single" w:color="auto" w:sz="4" w:space="0"/>
              <w:right w:val="single" w:color="auto" w:sz="4" w:space="0"/>
            </w:tcBorders>
            <w:vAlign w:val="center"/>
          </w:tcPr>
          <w:p w14:paraId="18EB6B63">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881" w:type="dxa"/>
            <w:tcBorders>
              <w:top w:val="single" w:color="auto" w:sz="4" w:space="0"/>
              <w:left w:val="nil"/>
              <w:bottom w:val="single" w:color="auto" w:sz="4" w:space="0"/>
              <w:right w:val="single" w:color="auto" w:sz="4" w:space="0"/>
            </w:tcBorders>
            <w:shd w:val="clear" w:color="auto" w:fill="auto"/>
            <w:vAlign w:val="center"/>
          </w:tcPr>
          <w:p w14:paraId="04EB6D30">
            <w:pPr>
              <w:spacing w:line="560" w:lineRule="exact"/>
              <w:jc w:val="center"/>
              <w:rPr>
                <w:rFonts w:hint="eastAsia" w:ascii="宋体" w:hAnsi="宋体" w:eastAsia="宋体" w:cs="宋体"/>
                <w:color w:val="auto"/>
                <w:spacing w:val="6"/>
                <w:sz w:val="21"/>
                <w:szCs w:val="21"/>
              </w:rPr>
            </w:pPr>
          </w:p>
        </w:tc>
        <w:tc>
          <w:tcPr>
            <w:tcW w:w="828" w:type="dxa"/>
            <w:tcBorders>
              <w:top w:val="single" w:color="auto" w:sz="4" w:space="0"/>
              <w:left w:val="nil"/>
              <w:bottom w:val="single" w:color="auto" w:sz="4" w:space="0"/>
              <w:right w:val="single" w:color="auto" w:sz="4" w:space="0"/>
            </w:tcBorders>
            <w:shd w:val="clear" w:color="auto" w:fill="auto"/>
            <w:vAlign w:val="center"/>
          </w:tcPr>
          <w:p w14:paraId="1EBCCBF6">
            <w:pPr>
              <w:spacing w:line="560" w:lineRule="exact"/>
              <w:jc w:val="center"/>
              <w:rPr>
                <w:rFonts w:hint="eastAsia" w:ascii="宋体" w:hAnsi="宋体" w:eastAsia="宋体" w:cs="宋体"/>
                <w:color w:val="auto"/>
                <w:spacing w:val="6"/>
                <w:sz w:val="21"/>
                <w:szCs w:val="21"/>
              </w:rPr>
            </w:pPr>
          </w:p>
        </w:tc>
        <w:tc>
          <w:tcPr>
            <w:tcW w:w="1018" w:type="dxa"/>
            <w:tcBorders>
              <w:top w:val="single" w:color="auto" w:sz="4" w:space="0"/>
              <w:left w:val="nil"/>
              <w:bottom w:val="single" w:color="auto" w:sz="4" w:space="0"/>
              <w:right w:val="single" w:color="auto" w:sz="4" w:space="0"/>
            </w:tcBorders>
            <w:vAlign w:val="center"/>
          </w:tcPr>
          <w:p w14:paraId="185B38D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p>
        </w:tc>
      </w:tr>
      <w:tr w14:paraId="76D9C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2376" w:type="dxa"/>
            <w:gridSpan w:val="2"/>
            <w:tcBorders>
              <w:top w:val="single" w:color="auto" w:sz="4" w:space="0"/>
              <w:left w:val="single" w:color="auto" w:sz="4" w:space="0"/>
              <w:bottom w:val="single" w:color="auto" w:sz="4" w:space="0"/>
              <w:right w:val="single" w:color="auto" w:sz="4" w:space="0"/>
            </w:tcBorders>
            <w:vAlign w:val="center"/>
          </w:tcPr>
          <w:p w14:paraId="49D73598">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rPr>
            </w:pPr>
            <w:r>
              <w:rPr>
                <w:rFonts w:hint="eastAsia" w:ascii="宋体" w:hAnsi="宋体" w:eastAsia="宋体" w:cs="宋体"/>
                <w:color w:val="auto"/>
                <w:kern w:val="0"/>
                <w:sz w:val="21"/>
                <w:szCs w:val="21"/>
                <w:lang w:bidi="ar"/>
              </w:rPr>
              <w:t>合计</w:t>
            </w:r>
          </w:p>
        </w:tc>
        <w:tc>
          <w:tcPr>
            <w:tcW w:w="11768" w:type="dxa"/>
            <w:gridSpan w:val="6"/>
            <w:tcBorders>
              <w:top w:val="single" w:color="auto" w:sz="4" w:space="0"/>
              <w:left w:val="nil"/>
              <w:bottom w:val="single" w:color="auto" w:sz="4" w:space="0"/>
              <w:right w:val="single" w:color="auto" w:sz="4" w:space="0"/>
            </w:tcBorders>
            <w:vAlign w:val="center"/>
          </w:tcPr>
          <w:p w14:paraId="143A2F1D">
            <w:pPr>
              <w:pageBreakBefore w:val="0"/>
              <w:kinsoku/>
              <w:wordWrap/>
              <w:overflowPunct/>
              <w:topLinePunct w:val="0"/>
              <w:autoSpaceDE/>
              <w:autoSpaceDN/>
              <w:bidi w:val="0"/>
              <w:adjustRightInd w:val="0"/>
              <w:snapToGrid w:val="0"/>
              <w:spacing w:beforeAutospacing="0" w:afterAutospacing="0" w:line="240" w:lineRule="auto"/>
              <w:jc w:val="center"/>
              <w:rPr>
                <w:rFonts w:hint="eastAsia" w:ascii="宋体" w:hAnsi="宋体" w:eastAsia="宋体" w:cs="宋体"/>
                <w:color w:val="auto"/>
                <w:spacing w:val="6"/>
                <w:sz w:val="21"/>
                <w:szCs w:val="21"/>
                <w:lang w:val="en-US" w:eastAsia="zh-CN"/>
              </w:rPr>
            </w:pPr>
          </w:p>
        </w:tc>
      </w:tr>
    </w:tbl>
    <w:p w14:paraId="70D78EB5">
      <w:pPr>
        <w:pStyle w:val="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firstLine="480" w:firstLineChars="200"/>
        <w:textAlignment w:val="auto"/>
        <w:rPr>
          <w:rFonts w:hint="eastAsia" w:ascii="宋体" w:hAnsi="宋体" w:eastAsia="宋体" w:cs="宋体"/>
          <w:color w:val="auto"/>
          <w:sz w:val="24"/>
          <w:szCs w:val="24"/>
        </w:rPr>
      </w:pPr>
    </w:p>
    <w:p w14:paraId="29B84F29">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微软雅黑 Light">
    <w:panose1 w:val="020B0502040204020203"/>
    <w:charset w:val="86"/>
    <w:family w:val="swiss"/>
    <w:pitch w:val="default"/>
    <w:sig w:usb0="80000287" w:usb1="2ACF001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C00FFE"/>
    <w:rsid w:val="0FC00F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_Style 13"/>
    <w:qFormat/>
    <w:uiPriority w:val="0"/>
    <w:pPr>
      <w:spacing w:before="120" w:after="120" w:line="288" w:lineRule="auto"/>
      <w:ind w:left="0"/>
      <w:jc w:val="left"/>
    </w:pPr>
    <w:rPr>
      <w:rFonts w:ascii="Arial" w:hAnsi="Arial" w:eastAsia="等线" w:cs="Arial"/>
      <w:sz w:val="22"/>
      <w:szCs w:val="22"/>
    </w:rPr>
  </w:style>
  <w:style w:type="paragraph" w:customStyle="1" w:styleId="8">
    <w:name w:val="List Paragraph1"/>
    <w:basedOn w:val="1"/>
    <w:qFormat/>
    <w:uiPriority w:val="0"/>
    <w:pPr>
      <w:spacing w:before="100" w:beforeAutospacing="1" w:after="100" w:afterAutospacing="1"/>
      <w:ind w:left="720"/>
      <w:contextualSpacing/>
    </w:pPr>
    <w:rPr>
      <w:rFonts w:ascii="Calibri" w:hAnsi="Calibri" w:eastAsia="宋体" w:cs="Times New Roman"/>
      <w:szCs w:val="21"/>
    </w:rPr>
  </w:style>
  <w:style w:type="table" w:customStyle="1" w:styleId="9">
    <w:name w:val="网格型1"/>
    <w:basedOn w:val="4"/>
    <w:qFormat/>
    <w:uiPriority w:val="0"/>
    <w:pPr>
      <w:widowControl w:val="0"/>
      <w:jc w:val="both"/>
    </w:pPr>
    <w:rPr>
      <w:rFonts w:ascii="Calibri" w:hAnsi="Calibri"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Table Text"/>
    <w:basedOn w:val="1"/>
    <w:semiHidden/>
    <w:qFormat/>
    <w:uiPriority w:val="0"/>
    <w:rPr>
      <w:rFonts w:ascii="宋体" w:hAnsi="宋体" w:eastAsia="宋体" w:cs="宋体"/>
      <w:sz w:val="19"/>
      <w:szCs w:val="19"/>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40</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2025-06-03T08:39:00Z</dcterms:created>
  <dc:creator>王寒冰</dc:creator>
  <cp:lastModifiedBy>王寒冰</cp:lastModifiedBy>
  <dcterms:modified xsi:type="dcterms:W3CDTF">2025-06-03T08:42:34Z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26EDDF7F1F924525A33F542F593EF8E0_11</vt:lpwstr>
  </property>
  <property fmtid="{D5CDD505-2E9C-101B-9397-08002B2CF9AE}" pid="4" name="KSOTemplateDocerSaveRecord">
    <vt:lpwstr>eyJoZGlkIjoiNzNmZjU1YTc0YjdiOTljOGE2M2FlMDEzOGI1NDFkNjYiLCJ1c2VySWQiOiIzMjQyMDI1MjcifQ==</vt:lpwstr>
  </property>
</Properties>
</file>