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73961">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江苏省盐城技师学院海洋路校区体育运动场看台雨棚彩钢瓦油漆出新采购项目询价公告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江苏省盐城技师学院海洋路校区体育运动场看台雨棚彩钢瓦油漆出新采购项目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4CA8EE6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项目编号：XJ2025040</w:t>
      </w:r>
    </w:p>
    <w:p w14:paraId="46A8C4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江苏省盐城技师学院海洋路校区体育运动场看台雨棚彩钢瓦油漆出新采购项目</w:t>
      </w:r>
    </w:p>
    <w:p w14:paraId="0A9E1B6B">
      <w:pPr>
        <w:pStyle w:val="12"/>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16380</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p w14:paraId="03E79337">
      <w:pPr>
        <w:widowControl/>
        <w:spacing w:line="560" w:lineRule="exact"/>
        <w:ind w:firstLine="602" w:firstLineChars="200"/>
        <w:jc w:val="center"/>
        <w:rPr>
          <w:rFonts w:hint="default" w:ascii="楷体_GB2312" w:hAnsi="楷体_GB2312" w:eastAsia="楷体_GB2312" w:cs="楷体_GB2312"/>
          <w:b/>
          <w:bCs/>
          <w:color w:val="000000"/>
          <w:kern w:val="0"/>
          <w:sz w:val="30"/>
          <w:szCs w:val="30"/>
          <w:lang w:val="en-US" w:eastAsia="zh-CN"/>
        </w:rPr>
      </w:pPr>
      <w:r>
        <w:rPr>
          <w:rFonts w:hint="eastAsia" w:ascii="楷体_GB2312" w:hAnsi="楷体_GB2312" w:eastAsia="楷体_GB2312" w:cs="楷体_GB2312"/>
          <w:b/>
          <w:bCs/>
          <w:color w:val="000000"/>
          <w:kern w:val="0"/>
          <w:sz w:val="30"/>
          <w:szCs w:val="30"/>
          <w:lang w:eastAsia="zh-CN"/>
        </w:rPr>
        <w:t>海洋路校区体育运动场看台雨棚彩钢瓦油漆出新采购项目</w:t>
      </w:r>
      <w:r>
        <w:rPr>
          <w:rFonts w:hint="eastAsia" w:ascii="楷体_GB2312" w:hAnsi="楷体_GB2312" w:eastAsia="楷体_GB2312" w:cs="楷体_GB2312"/>
          <w:b/>
          <w:bCs/>
          <w:color w:val="000000"/>
          <w:kern w:val="0"/>
          <w:sz w:val="30"/>
          <w:szCs w:val="30"/>
          <w:lang w:val="en-US" w:eastAsia="zh-CN"/>
        </w:rPr>
        <w:t>清单</w:t>
      </w:r>
    </w:p>
    <w:tbl>
      <w:tblPr>
        <w:tblStyle w:val="13"/>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17AE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4F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C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52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F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BC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2764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3BBE">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彩钢瓦雨棚</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36C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28米长*13米宽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5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6FB">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364</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6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2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00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6D8EA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115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工序要求</w:t>
            </w:r>
          </w:p>
        </w:tc>
        <w:tc>
          <w:tcPr>
            <w:tcW w:w="9193" w:type="dxa"/>
            <w:gridSpan w:val="7"/>
            <w:tcBorders>
              <w:top w:val="single" w:color="000000" w:sz="4" w:space="0"/>
              <w:left w:val="single" w:color="000000" w:sz="4" w:space="0"/>
              <w:right w:val="single" w:color="000000" w:sz="4" w:space="0"/>
            </w:tcBorders>
            <w:shd w:val="clear" w:color="auto" w:fill="auto"/>
            <w:vAlign w:val="center"/>
          </w:tcPr>
          <w:p w14:paraId="7365DA84">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彩钢瓦及刚拉件除锈；</w:t>
            </w:r>
          </w:p>
          <w:p w14:paraId="12149CBB">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default"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刷防锈漆1遍；</w:t>
            </w:r>
          </w:p>
          <w:p w14:paraId="5B07D649">
            <w:pPr>
              <w:keepNext w:val="0"/>
              <w:keepLines w:val="0"/>
              <w:widowControl/>
              <w:numPr>
                <w:ilvl w:val="0"/>
                <w:numId w:val="0"/>
              </w:numPr>
              <w:suppressLineNumbers w:val="0"/>
              <w:jc w:val="left"/>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（3）刷面漆2遍。</w:t>
            </w:r>
          </w:p>
        </w:tc>
      </w:tr>
      <w:tr w14:paraId="4477B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17CC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EF34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2FB42B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项目要求：</w:t>
      </w:r>
    </w:p>
    <w:p w14:paraId="72E0D20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1、油漆品牌要求：万年青、立邦、三棵树</w:t>
      </w:r>
    </w:p>
    <w:p w14:paraId="49755BD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2、工序要求：</w:t>
      </w:r>
    </w:p>
    <w:p w14:paraId="3B7B1E2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（1）施工前的准备</w:t>
      </w:r>
    </w:p>
    <w:p w14:paraId="4A432E5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在施工前，需要对彩钢瓦进行全面检查，确定需要出新的范围和程度。同时，准备必要的施工工具和材料，如打磨机、涂料、清洁剂、防护用品等。</w:t>
      </w:r>
    </w:p>
    <w:p w14:paraId="11324655">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 清洁表面</w:t>
      </w:r>
    </w:p>
    <w:p w14:paraId="3624C2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使用高压水枪或清洁剂彻底清洗彩钢瓦表面，去除灰尘、油污和其他杂质。这一步是确保翻新涂料能够良好附着的基础。</w:t>
      </w:r>
    </w:p>
    <w:p w14:paraId="6D5C3368">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 打磨处理</w:t>
      </w:r>
    </w:p>
    <w:p w14:paraId="6887654F">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对于有锈迹或漆膜剥落的部位，使用打磨机进行打磨，去除松动的漆层和锈迹，为新涂料的附着创造良好的表面条件。</w:t>
      </w:r>
    </w:p>
    <w:p w14:paraId="0E34C2E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（4）修补缺陷</w:t>
      </w:r>
    </w:p>
    <w:p w14:paraId="79C0EB3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对于彩钢瓦上的裂缝、孔洞等缺陷，需要先进行修补。使用专用的修补材料，如环氧树脂或专用的彩钢瓦修补膏进行填补。</w:t>
      </w:r>
    </w:p>
    <w:p w14:paraId="36F8B1F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（5）底漆涂装</w:t>
      </w:r>
    </w:p>
    <w:p w14:paraId="7687FEA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修补完成后，涂刷一层专用的金属表面底漆。底漆不仅能够进一步增强涂料的附着力，还能提供额外的防锈保护。</w:t>
      </w:r>
    </w:p>
    <w:p w14:paraId="68B4029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（6）面漆涂装</w:t>
      </w:r>
    </w:p>
    <w:p w14:paraId="7324784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底漆干燥后，进行面漆的涂装。面漆的选择应根据彩钢瓦的使用环境和客户的要求来确定，如耐候性、抗紫外线性等。面漆需要涂刷两遍，以确保颜色均匀且涂层厚度适中。</w:t>
      </w:r>
    </w:p>
    <w:p w14:paraId="66E8989F">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（7）涂层检查与修补</w:t>
      </w:r>
    </w:p>
    <w:p w14:paraId="49D0273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涂装完成后，对涂层进行全面检查，对于漏涂或涂层不均匀的部位进行修补。</w:t>
      </w:r>
    </w:p>
    <w:p w14:paraId="1DBA89C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（8）清理现场</w:t>
      </w:r>
    </w:p>
    <w:p w14:paraId="2A96DFF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施工结束后，清理施工现场，确保不留下任何施工垃圾。</w:t>
      </w:r>
    </w:p>
    <w:p w14:paraId="67E6432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（9） 质量验收</w:t>
      </w:r>
    </w:p>
    <w:p w14:paraId="7287D7E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进行质量验收，确保出新后的彩钢瓦达到预期的效果，颜色均匀，无明显缺陷。</w:t>
      </w:r>
    </w:p>
    <w:p w14:paraId="526E70E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3、注意事项：</w:t>
      </w:r>
    </w:p>
    <w:p w14:paraId="34B2B6D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w:t>
      </w:r>
      <w:r>
        <w:rPr>
          <w:rFonts w:hint="default" w:ascii="仿宋_GB2312" w:hAnsi="仿宋_GB2312" w:eastAsia="仿宋_GB2312" w:cs="仿宋_GB2312"/>
          <w:color w:val="000000"/>
          <w:sz w:val="28"/>
          <w:szCs w:val="28"/>
          <w:u w:val="none"/>
          <w:lang w:val="en-US" w:eastAsia="zh-CN"/>
        </w:rPr>
        <w:t>施工人员必须佩戴安全帽、安全带等个人防护装备，确保在高处作业时的人身安全。在施工现场设置警示标识，禁止无关人员进入。搭建稳固的施工平台，保证施工人员有安全的作业空间。施工过程中要注意防火，禁止明火作业，并配备灭火器等消防器材。避免在恶劣天气条件下施工，如强风、暴雨、雷电等。施工人员要接受必要的安全培训，了解施工中的危险因素和应对措施。施工现场要保持良好的通风，防止漆料挥发产生的有害气体积聚对人体造成伤害。</w:t>
      </w:r>
    </w:p>
    <w:p w14:paraId="6AB9241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（2）喷漆时应选择天气晴朗、无风的日子，避免雨水和风沙影响喷涂效果。</w:t>
      </w:r>
    </w:p>
    <w:p w14:paraId="0C52694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（3）如发生安全责任由中标单位自行负责，与校方无涉。</w:t>
      </w:r>
    </w:p>
    <w:p w14:paraId="04A52A2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4、质保期：2年。</w:t>
      </w:r>
    </w:p>
    <w:p w14:paraId="721AD421">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14:paraId="1456E7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14:paraId="19C3951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14:paraId="4851306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14:paraId="1350DE6B">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宋体" w:hAnsi="宋体" w:eastAsia="宋体" w:cs="宋体"/>
          <w:kern w:val="2"/>
          <w:sz w:val="24"/>
          <w:szCs w:val="24"/>
          <w:lang w:val="en-US" w:eastAsia="zh-CN" w:bidi="ar-SA"/>
        </w:rPr>
        <w:t>4.</w:t>
      </w:r>
      <w:r>
        <w:rPr>
          <w:rFonts w:hint="eastAsia" w:ascii="仿宋_GB2312" w:hAnsi="仿宋_GB2312" w:eastAsia="仿宋_GB2312" w:cs="仿宋_GB2312"/>
          <w:color w:val="000000"/>
          <w:sz w:val="28"/>
          <w:szCs w:val="28"/>
          <w:u w:val="none"/>
          <w:lang w:val="en-US" w:eastAsia="zh-CN"/>
        </w:rPr>
        <w:t>施工资质要求：须具有建设行政主管部门核发的建筑工程施工总承包三级及以上资质的独立法人或具有建设行政主管部门核发的建筑装修装饰专业承包二级及以上资质，并取得建设行政主管部门颁发的安全生产许可证。</w:t>
      </w:r>
    </w:p>
    <w:p w14:paraId="323FA1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w:t>
      </w:r>
      <w:r>
        <w:rPr>
          <w:rFonts w:hint="eastAsia" w:ascii="仿宋_GB2312" w:hAnsi="仿宋_GB2312" w:eastAsia="仿宋_GB2312" w:cs="仿宋_GB2312"/>
          <w:color w:val="000000"/>
          <w:sz w:val="28"/>
          <w:szCs w:val="28"/>
          <w:u w:val="none"/>
          <w:lang w:eastAsia="zh-CN"/>
        </w:rPr>
        <w:t>.本项目不接受联合体投标。</w:t>
      </w:r>
    </w:p>
    <w:p w14:paraId="33E0D333">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工期内容</w:t>
      </w:r>
    </w:p>
    <w:p w14:paraId="35B5CB7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1、工期要求：20个日历天内完成供货。</w:t>
      </w:r>
    </w:p>
    <w:p w14:paraId="7AF42E8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2、质量标准：所有材料必须达到国标。</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23</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25</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4</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26</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10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26</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1</w:t>
      </w:r>
      <w:bookmarkStart w:id="0" w:name="_GoBack"/>
      <w:bookmarkEnd w:id="0"/>
      <w:r>
        <w:rPr>
          <w:rFonts w:hint="eastAsia" w:ascii="仿宋_GB2312" w:eastAsia="仿宋_GB2312" w:cs="仿宋_GB2312"/>
          <w:b/>
          <w:bCs/>
          <w:color w:val="000000"/>
          <w:sz w:val="28"/>
          <w:szCs w:val="28"/>
          <w:u w:val="single"/>
          <w:shd w:val="clear" w:fill="FFFFFF"/>
          <w:lang w:val="en-US" w:eastAsia="zh-CN"/>
        </w:rPr>
        <w:t>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1"/>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10D09F32">
      <w:pPr>
        <w:jc w:val="center"/>
        <w:rPr>
          <w:rFonts w:hint="eastAsia" w:ascii="黑体" w:eastAsia="黑体" w:cs="黑体"/>
          <w:color w:val="000000"/>
          <w:sz w:val="44"/>
          <w:szCs w:val="44"/>
        </w:rPr>
      </w:pPr>
    </w:p>
    <w:p w14:paraId="64F8F974">
      <w:pPr>
        <w:jc w:val="center"/>
        <w:rPr>
          <w:rFonts w:hint="eastAsia" w:ascii="黑体" w:eastAsia="黑体" w:cs="黑体"/>
          <w:color w:val="000000"/>
          <w:sz w:val="44"/>
          <w:szCs w:val="44"/>
        </w:rPr>
      </w:pPr>
    </w:p>
    <w:p w14:paraId="48B2EA4F">
      <w:pPr>
        <w:jc w:val="center"/>
        <w:rPr>
          <w:rFonts w:hint="eastAsia" w:ascii="黑体" w:eastAsia="黑体" w:cs="黑体"/>
          <w:color w:val="000000"/>
          <w:sz w:val="44"/>
          <w:szCs w:val="44"/>
        </w:rPr>
      </w:pPr>
    </w:p>
    <w:p w14:paraId="5D9BB197">
      <w:pPr>
        <w:jc w:val="center"/>
        <w:rPr>
          <w:rFonts w:hint="eastAsia" w:ascii="黑体" w:eastAsia="黑体" w:cs="黑体"/>
          <w:color w:val="000000"/>
          <w:sz w:val="44"/>
          <w:szCs w:val="44"/>
        </w:rPr>
      </w:pPr>
    </w:p>
    <w:p w14:paraId="14C0E9D8">
      <w:pPr>
        <w:jc w:val="center"/>
        <w:rPr>
          <w:rFonts w:hint="eastAsia" w:ascii="黑体" w:eastAsia="黑体" w:cs="黑体"/>
          <w:color w:val="000000"/>
          <w:sz w:val="44"/>
          <w:szCs w:val="44"/>
        </w:rPr>
      </w:pPr>
    </w:p>
    <w:p w14:paraId="379042B0">
      <w:pPr>
        <w:jc w:val="center"/>
        <w:rPr>
          <w:rFonts w:hint="eastAsia" w:ascii="黑体" w:eastAsia="黑体" w:cs="黑体"/>
          <w:color w:val="000000"/>
          <w:sz w:val="44"/>
          <w:szCs w:val="44"/>
        </w:rPr>
      </w:pPr>
    </w:p>
    <w:p w14:paraId="3BF47148">
      <w:pPr>
        <w:jc w:val="center"/>
        <w:rPr>
          <w:rFonts w:hint="eastAsia" w:ascii="黑体" w:eastAsia="黑体" w:cs="黑体"/>
          <w:color w:val="000000"/>
          <w:sz w:val="44"/>
          <w:szCs w:val="44"/>
        </w:rPr>
      </w:pPr>
    </w:p>
    <w:p w14:paraId="1A879ED7">
      <w:pPr>
        <w:jc w:val="center"/>
        <w:rPr>
          <w:rFonts w:hint="eastAsia" w:ascii="黑体" w:eastAsia="黑体" w:cs="黑体"/>
          <w:color w:val="000000"/>
          <w:sz w:val="44"/>
          <w:szCs w:val="44"/>
        </w:rPr>
      </w:pPr>
    </w:p>
    <w:p w14:paraId="5BE1C0C1">
      <w:pPr>
        <w:jc w:val="center"/>
        <w:rPr>
          <w:rFonts w:hint="eastAsia" w:ascii="黑体" w:eastAsia="黑体" w:cs="黑体"/>
          <w:color w:val="000000"/>
          <w:sz w:val="44"/>
          <w:szCs w:val="44"/>
        </w:rPr>
      </w:pPr>
    </w:p>
    <w:p w14:paraId="419642EC">
      <w:pPr>
        <w:jc w:val="center"/>
        <w:rPr>
          <w:rFonts w:hint="eastAsia" w:ascii="黑体" w:eastAsia="黑体" w:cs="黑体"/>
          <w:color w:val="000000"/>
          <w:sz w:val="44"/>
          <w:szCs w:val="44"/>
        </w:rPr>
      </w:pPr>
    </w:p>
    <w:p w14:paraId="38FD7C16">
      <w:pPr>
        <w:jc w:val="center"/>
        <w:rPr>
          <w:rFonts w:hint="eastAsia" w:ascii="黑体" w:eastAsia="黑体" w:cs="黑体"/>
          <w:color w:val="000000"/>
          <w:sz w:val="44"/>
          <w:szCs w:val="44"/>
        </w:rPr>
      </w:pPr>
    </w:p>
    <w:p w14:paraId="03C92159">
      <w:pPr>
        <w:jc w:val="center"/>
        <w:rPr>
          <w:rFonts w:hint="eastAsia" w:ascii="黑体" w:eastAsia="黑体" w:cs="黑体"/>
          <w:color w:val="000000"/>
          <w:sz w:val="44"/>
          <w:szCs w:val="44"/>
        </w:rPr>
      </w:pPr>
    </w:p>
    <w:p w14:paraId="0807B716">
      <w:pPr>
        <w:jc w:val="center"/>
        <w:rPr>
          <w:rFonts w:hint="eastAsia" w:ascii="黑体" w:eastAsia="黑体" w:cs="黑体"/>
          <w:color w:val="000000"/>
          <w:sz w:val="44"/>
          <w:szCs w:val="44"/>
        </w:rPr>
      </w:pPr>
    </w:p>
    <w:p w14:paraId="294090FB">
      <w:pPr>
        <w:jc w:val="center"/>
        <w:rPr>
          <w:rFonts w:hint="eastAsia" w:ascii="黑体" w:eastAsia="黑体" w:cs="黑体"/>
          <w:color w:val="000000"/>
          <w:sz w:val="44"/>
          <w:szCs w:val="44"/>
        </w:rPr>
      </w:pPr>
    </w:p>
    <w:p w14:paraId="6A6DCF98">
      <w:pPr>
        <w:jc w:val="center"/>
        <w:rPr>
          <w:rFonts w:hint="eastAsia" w:ascii="黑体" w:eastAsia="黑体" w:cs="黑体"/>
          <w:color w:val="000000"/>
          <w:sz w:val="44"/>
          <w:szCs w:val="44"/>
        </w:rPr>
      </w:pPr>
    </w:p>
    <w:p w14:paraId="7F21F892">
      <w:pPr>
        <w:jc w:val="center"/>
        <w:rPr>
          <w:rFonts w:hint="eastAsia" w:ascii="黑体" w:eastAsia="黑体" w:cs="黑体"/>
          <w:color w:val="000000"/>
          <w:sz w:val="44"/>
          <w:szCs w:val="44"/>
        </w:rPr>
      </w:pPr>
    </w:p>
    <w:p w14:paraId="72F63897">
      <w:pPr>
        <w:jc w:val="center"/>
        <w:rPr>
          <w:rFonts w:hint="eastAsia" w:ascii="黑体" w:eastAsia="黑体" w:cs="黑体"/>
          <w:color w:val="000000"/>
          <w:sz w:val="44"/>
          <w:szCs w:val="44"/>
        </w:rPr>
      </w:pPr>
    </w:p>
    <w:p w14:paraId="18AC50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海洋路校区体育运动场看台雨棚彩钢瓦油漆出新采购项目分项报价表</w:t>
      </w:r>
    </w:p>
    <w:p w14:paraId="2F1362D9">
      <w:pPr>
        <w:widowControl/>
        <w:spacing w:line="560" w:lineRule="exact"/>
        <w:ind w:firstLine="602" w:firstLineChars="200"/>
        <w:jc w:val="center"/>
        <w:rPr>
          <w:rFonts w:hint="default" w:ascii="楷体_GB2312" w:hAnsi="楷体_GB2312" w:eastAsia="楷体_GB2312" w:cs="楷体_GB2312"/>
          <w:b/>
          <w:bCs/>
          <w:color w:val="000000"/>
          <w:kern w:val="0"/>
          <w:sz w:val="30"/>
          <w:szCs w:val="30"/>
          <w:lang w:val="en-US" w:eastAsia="zh-CN"/>
        </w:rPr>
      </w:pPr>
    </w:p>
    <w:tbl>
      <w:tblPr>
        <w:tblStyle w:val="13"/>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3E622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0721">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28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AC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BE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90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EC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BC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62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395D0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9B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9139">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彩钢瓦雨棚</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A0F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28米长*13米宽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35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966E">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364</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8D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21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4F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67DD4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332C">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工序要求</w:t>
            </w:r>
          </w:p>
        </w:tc>
        <w:tc>
          <w:tcPr>
            <w:tcW w:w="9193" w:type="dxa"/>
            <w:gridSpan w:val="7"/>
            <w:tcBorders>
              <w:top w:val="single" w:color="000000" w:sz="4" w:space="0"/>
              <w:left w:val="single" w:color="000000" w:sz="4" w:space="0"/>
              <w:right w:val="single" w:color="000000" w:sz="4" w:space="0"/>
            </w:tcBorders>
            <w:shd w:val="clear" w:color="auto" w:fill="auto"/>
            <w:vAlign w:val="center"/>
          </w:tcPr>
          <w:p w14:paraId="39E4FDE1">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彩钢瓦及刚拉件除锈；</w:t>
            </w:r>
          </w:p>
          <w:p w14:paraId="00909293">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default"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刷防锈漆1遍；</w:t>
            </w:r>
          </w:p>
          <w:p w14:paraId="569B142D">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（3）刷面漆2遍。</w:t>
            </w:r>
          </w:p>
          <w:p w14:paraId="7D8048E4">
            <w:pPr>
              <w:keepNext w:val="0"/>
              <w:keepLines w:val="0"/>
              <w:widowControl/>
              <w:numPr>
                <w:ilvl w:val="0"/>
                <w:numId w:val="0"/>
              </w:numPr>
              <w:suppressLineNumbers w:val="0"/>
              <w:jc w:val="left"/>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以上费用含人工费、材料费、机械费、税费等所有费用。</w:t>
            </w:r>
          </w:p>
        </w:tc>
      </w:tr>
      <w:tr w14:paraId="36345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F48DC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3BC217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85DA8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242B45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73C6B38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78948D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5CB1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050C06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85C2AB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D28044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A2876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4E8E35A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8B7EE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5F94F8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EBE2A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0ED46F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DAFF33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6629C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67095D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eastAsia" w:ascii="仿宋_GB2312" w:eastAsia="仿宋_GB2312" w:cs="仿宋_GB2312"/>
                <w:color w:val="000000"/>
                <w:sz w:val="28"/>
                <w:szCs w:val="28"/>
                <w:lang w:val="en-US" w:eastAsia="zh-CN"/>
              </w:rPr>
              <w:t>XJ2025040</w:t>
            </w:r>
            <w:r>
              <w:rPr>
                <w:rFonts w:hint="eastAsia" w:ascii="仿宋_GB2312" w:eastAsia="仿宋_GB2312" w:cs="仿宋_GB2312"/>
                <w:color w:val="000000"/>
                <w:sz w:val="28"/>
                <w:szCs w:val="28"/>
                <w:lang w:eastAsia="zh-CN"/>
              </w:rPr>
              <w:t>海洋路校区体育运动场看台雨棚彩钢瓦油漆出新采购项目</w:t>
            </w: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eastAsia="宋体"/>
                <w:sz w:val="28"/>
                <w:szCs w:val="28"/>
                <w:lang w:val="en-US" w:eastAsia="zh-CN"/>
              </w:rPr>
            </w:pPr>
            <w:r>
              <w:rPr>
                <w:rFonts w:hint="eastAsia"/>
                <w:sz w:val="28"/>
                <w:szCs w:val="28"/>
                <w:lang w:val="en-US" w:eastAsia="zh-CN"/>
              </w:rPr>
              <w:t>20个日历天</w:t>
            </w: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452507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12334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w:t>
      </w:r>
      <w:r>
        <w:rPr>
          <w:rFonts w:hint="eastAsia" w:ascii="仿宋_GB2312" w:eastAsia="仿宋_GB2312" w:cs="仿宋_GB2312"/>
          <w:color w:val="000000"/>
          <w:sz w:val="28"/>
          <w:szCs w:val="28"/>
          <w:u w:val="single"/>
          <w:lang w:eastAsia="zh-CN"/>
        </w:rPr>
        <w:t>海洋路校区体育运动场看台雨棚彩钢瓦油漆出新采购项目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7A16F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5F68D3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42E809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D83DD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C8F71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70F8B9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FA78F1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335B324">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XJ2025040</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4661BA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39E215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6BF7A7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123A58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A6F4D92"/>
    <w:rsid w:val="0C54536A"/>
    <w:rsid w:val="0CB70A7B"/>
    <w:rsid w:val="11CF3AC0"/>
    <w:rsid w:val="123F1F8C"/>
    <w:rsid w:val="2278573F"/>
    <w:rsid w:val="25873D4C"/>
    <w:rsid w:val="25FE4978"/>
    <w:rsid w:val="265F25D3"/>
    <w:rsid w:val="29215311"/>
    <w:rsid w:val="297178A3"/>
    <w:rsid w:val="2C687786"/>
    <w:rsid w:val="2F446103"/>
    <w:rsid w:val="31E860C7"/>
    <w:rsid w:val="33B464BE"/>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 w:type="character" w:customStyle="1" w:styleId="21">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3222</Words>
  <Characters>3557</Characters>
  <Lines>0</Lines>
  <Paragraphs>0</Paragraphs>
  <TotalTime>20</TotalTime>
  <ScaleCrop>false</ScaleCrop>
  <LinksUpToDate>false</LinksUpToDate>
  <CharactersWithSpaces>4195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2025-04-22T06:29:00Z</cp:lastPrinted>
  <dcterms:modified xsi:type="dcterms:W3CDTF">2025-04-23T07:28:51Z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241DB3A0F5C54C0E8C0C631DD3DF183B_11</vt:lpwstr>
  </property>
  <property fmtid="{D5CDD505-2E9C-101B-9397-08002B2CF9AE}" pid="4" name="KSOTemplateDocerSaveRecord">
    <vt:lpwstr>eyJoZGlkIjoiNzNmZjU1YTc0YjdiOTljOGE2M2FlMDEzOGI1NDFkNjYiLCJ1c2VySWQiOiIzMjQyMDI1MjcifQ==</vt:lpwstr>
  </property>
</Properties>
</file>