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027D8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2602"/>
        </w:tabs>
        <w:spacing w:before="156" w:beforeAutospacing="0" w:after="156" w:afterAutospacing="0"/>
        <w:jc w:val="center"/>
      </w:pPr>
      <w:bookmarkStart w:id="0" w:name="_Toc17537928"/>
      <w:r>
        <w:rPr>
          <w:rFonts w:hint="default" w:ascii="Calibri" w:hAnsi="Calibri" w:cs="Calibri"/>
          <w:color w:val="000000"/>
          <w:sz w:val="44"/>
          <w:szCs w:val="44"/>
        </w:rPr>
        <w:t>招标公告</w:t>
      </w:r>
    </w:p>
    <w:p w14:paraId="36A6759C">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80" w:lineRule="exact"/>
        <w:ind w:left="0" w:firstLine="561"/>
        <w:jc w:val="both"/>
        <w:textAlignment w:val="auto"/>
        <w:rPr>
          <w:rFonts w:hint="default" w:ascii="仿宋_GB2312" w:eastAsia="仿宋_GB2312" w:cs="仿宋_GB2312"/>
          <w:color w:val="000000"/>
          <w:sz w:val="28"/>
          <w:szCs w:val="28"/>
        </w:rPr>
      </w:pPr>
      <w:r>
        <w:rPr>
          <w:rFonts w:hint="default" w:ascii="仿宋_GB2312" w:eastAsia="仿宋_GB2312" w:cs="仿宋_GB2312"/>
          <w:color w:val="000000"/>
          <w:sz w:val="28"/>
          <w:szCs w:val="28"/>
        </w:rPr>
        <w:t>根据《中华人民共和国招投标法》、《中华人民共和国政府采购法》等法律、法规的规定，现就</w:t>
      </w:r>
      <w:r>
        <w:rPr>
          <w:rFonts w:hint="eastAsia" w:ascii="仿宋_GB2312" w:eastAsia="仿宋_GB2312" w:cs="仿宋_GB2312"/>
          <w:color w:val="000000"/>
          <w:sz w:val="28"/>
          <w:szCs w:val="28"/>
          <w:u w:val="single"/>
          <w:lang w:val="en-US" w:eastAsia="zh-CN"/>
        </w:rPr>
        <w:t>遴选国有资产清查第三方服务机构采购</w:t>
      </w:r>
      <w:r>
        <w:rPr>
          <w:rFonts w:hint="default" w:ascii="仿宋_GB2312" w:eastAsia="仿宋_GB2312" w:cs="仿宋_GB2312"/>
          <w:color w:val="000000"/>
          <w:sz w:val="28"/>
          <w:szCs w:val="28"/>
          <w:u w:val="single"/>
        </w:rPr>
        <w:t>项目</w:t>
      </w:r>
      <w:r>
        <w:rPr>
          <w:rFonts w:hint="eastAsia" w:ascii="仿宋_GB2312" w:eastAsia="仿宋_GB2312" w:cs="仿宋_GB2312"/>
          <w:color w:val="000000"/>
          <w:sz w:val="28"/>
          <w:szCs w:val="28"/>
          <w:u w:val="single"/>
          <w:lang w:eastAsia="zh-CN"/>
        </w:rPr>
        <w:t>（二次）</w:t>
      </w:r>
      <w:r>
        <w:rPr>
          <w:rFonts w:hint="default" w:ascii="仿宋_GB2312" w:eastAsia="仿宋_GB2312" w:cs="仿宋_GB2312"/>
          <w:color w:val="000000"/>
          <w:sz w:val="28"/>
          <w:szCs w:val="28"/>
        </w:rPr>
        <w:t>进行</w:t>
      </w:r>
      <w:r>
        <w:rPr>
          <w:rFonts w:hint="default" w:ascii="仿宋_GB2312" w:eastAsia="仿宋_GB2312" w:cs="仿宋_GB2312"/>
          <w:color w:val="000000"/>
          <w:sz w:val="28"/>
          <w:szCs w:val="28"/>
          <w:u w:val="single"/>
        </w:rPr>
        <w:t>公开招标</w:t>
      </w:r>
      <w:r>
        <w:rPr>
          <w:rFonts w:hint="default" w:ascii="仿宋_GB2312" w:eastAsia="仿宋_GB2312" w:cs="仿宋_GB2312"/>
          <w:color w:val="000000"/>
          <w:sz w:val="28"/>
          <w:szCs w:val="28"/>
        </w:rPr>
        <w:t>采购。</w:t>
      </w:r>
    </w:p>
    <w:bookmarkEnd w:id="0"/>
    <w:p w14:paraId="21D32C82">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outlineLvl w:val="0"/>
        <w:rPr>
          <w:rFonts w:hint="eastAsia" w:ascii="仿宋" w:hAnsi="仿宋" w:eastAsia="仿宋" w:cs="仿宋"/>
          <w:b/>
          <w:bCs/>
          <w:sz w:val="32"/>
          <w:szCs w:val="32"/>
        </w:rPr>
      </w:pPr>
      <w:r>
        <w:rPr>
          <w:rFonts w:hint="eastAsia" w:ascii="仿宋" w:hAnsi="仿宋" w:eastAsia="仿宋" w:cs="仿宋"/>
          <w:b/>
          <w:bCs/>
          <w:sz w:val="32"/>
          <w:szCs w:val="32"/>
        </w:rPr>
        <w:t>一、采购目的</w:t>
      </w:r>
    </w:p>
    <w:p w14:paraId="57FEE78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32"/>
          <w:szCs w:val="32"/>
        </w:rPr>
      </w:pPr>
      <w:r>
        <w:rPr>
          <w:rFonts w:hint="eastAsia" w:ascii="仿宋" w:hAnsi="仿宋" w:eastAsia="仿宋" w:cs="仿宋"/>
          <w:sz w:val="28"/>
          <w:szCs w:val="28"/>
        </w:rPr>
        <w:t>根据《盐城市国有资产和集体资产清查利用专项行动工作方案》工作要求，对江苏省盐城技师学院国有资产进行全面清查，对国有资产财务状况进行核查，对物资进行盘查，全面摸清“家底”，出具国有资产清查报告，同步进行国有资产管理信息录入，建立健全国有资产台账。</w:t>
      </w:r>
    </w:p>
    <w:p w14:paraId="75BF4B86">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outlineLvl w:val="0"/>
        <w:rPr>
          <w:rFonts w:hint="eastAsia" w:ascii="仿宋" w:hAnsi="仿宋" w:eastAsia="仿宋" w:cs="仿宋"/>
          <w:b/>
          <w:bCs/>
          <w:sz w:val="32"/>
          <w:szCs w:val="32"/>
        </w:rPr>
      </w:pPr>
      <w:r>
        <w:rPr>
          <w:rFonts w:hint="eastAsia" w:ascii="仿宋" w:hAnsi="仿宋" w:eastAsia="仿宋" w:cs="仿宋"/>
          <w:b/>
          <w:bCs/>
          <w:sz w:val="32"/>
          <w:szCs w:val="32"/>
        </w:rPr>
        <w:t>二、采购内容</w:t>
      </w:r>
    </w:p>
    <w:p w14:paraId="3121697B">
      <w:pPr>
        <w:keepNext w:val="0"/>
        <w:keepLines w:val="0"/>
        <w:pageBreakBefore w:val="0"/>
        <w:widowControl w:val="0"/>
        <w:kinsoku/>
        <w:wordWrap/>
        <w:overflowPunct/>
        <w:topLinePunct w:val="0"/>
        <w:autoSpaceDE/>
        <w:autoSpaceDN/>
        <w:bidi w:val="0"/>
        <w:adjustRightInd/>
        <w:snapToGrid/>
        <w:spacing w:line="480" w:lineRule="exact"/>
        <w:ind w:firstLine="281" w:firstLineChars="100"/>
        <w:textAlignment w:val="auto"/>
        <w:outlineLvl w:val="1"/>
        <w:rPr>
          <w:rFonts w:hint="eastAsia" w:ascii="仿宋" w:hAnsi="仿宋" w:eastAsia="仿宋" w:cs="仿宋"/>
          <w:b/>
          <w:bCs/>
          <w:sz w:val="28"/>
          <w:szCs w:val="28"/>
        </w:rPr>
      </w:pPr>
      <w:r>
        <w:rPr>
          <w:rFonts w:hint="eastAsia" w:ascii="仿宋" w:hAnsi="仿宋" w:eastAsia="仿宋" w:cs="仿宋"/>
          <w:b/>
          <w:bCs/>
          <w:sz w:val="28"/>
          <w:szCs w:val="28"/>
        </w:rPr>
        <w:t>（一）清查内容</w:t>
      </w:r>
    </w:p>
    <w:p w14:paraId="033D6BB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1.基本情况，包括纳入资产清查工作范围的所属单位户数、编制和人员状况等。</w:t>
      </w:r>
    </w:p>
    <w:p w14:paraId="665A3A4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2.国有资产账务情况，包括单位国有资产涉及到的各类账户、账簿等。</w:t>
      </w:r>
    </w:p>
    <w:p w14:paraId="2E7B684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3.国有资产情况，包括单位的各类资产和负债。</w:t>
      </w:r>
    </w:p>
    <w:p w14:paraId="3EBE4425">
      <w:pPr>
        <w:keepNext w:val="0"/>
        <w:keepLines w:val="0"/>
        <w:pageBreakBefore w:val="0"/>
        <w:widowControl w:val="0"/>
        <w:kinsoku/>
        <w:wordWrap/>
        <w:overflowPunct/>
        <w:topLinePunct w:val="0"/>
        <w:autoSpaceDE/>
        <w:autoSpaceDN/>
        <w:bidi w:val="0"/>
        <w:adjustRightInd/>
        <w:snapToGrid/>
        <w:spacing w:line="480" w:lineRule="exact"/>
        <w:ind w:firstLine="281" w:firstLineChars="100"/>
        <w:textAlignment w:val="auto"/>
        <w:outlineLvl w:val="1"/>
        <w:rPr>
          <w:rFonts w:hint="eastAsia" w:ascii="仿宋" w:hAnsi="仿宋" w:eastAsia="仿宋" w:cs="仿宋"/>
          <w:b/>
          <w:bCs/>
          <w:sz w:val="28"/>
          <w:szCs w:val="28"/>
        </w:rPr>
      </w:pPr>
      <w:r>
        <w:rPr>
          <w:rFonts w:hint="eastAsia" w:ascii="仿宋" w:hAnsi="仿宋" w:eastAsia="仿宋" w:cs="仿宋"/>
          <w:b/>
          <w:bCs/>
          <w:sz w:val="28"/>
          <w:szCs w:val="28"/>
        </w:rPr>
        <w:t>（二）清查范围</w:t>
      </w:r>
    </w:p>
    <w:p w14:paraId="7C983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学校以 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2</w:t>
      </w:r>
      <w:r>
        <w:rPr>
          <w:rFonts w:hint="eastAsia" w:ascii="仿宋" w:hAnsi="仿宋" w:eastAsia="仿宋" w:cs="仿宋"/>
          <w:sz w:val="28"/>
          <w:szCs w:val="28"/>
        </w:rPr>
        <w:t>月</w:t>
      </w:r>
      <w:r>
        <w:rPr>
          <w:rFonts w:hint="eastAsia" w:ascii="仿宋" w:hAnsi="仿宋" w:eastAsia="仿宋" w:cs="仿宋"/>
          <w:sz w:val="28"/>
          <w:szCs w:val="28"/>
          <w:lang w:val="en-US" w:eastAsia="zh-CN"/>
        </w:rPr>
        <w:t>28</w:t>
      </w:r>
      <w:r>
        <w:rPr>
          <w:rFonts w:hint="eastAsia" w:ascii="仿宋" w:hAnsi="仿宋" w:eastAsia="仿宋" w:cs="仿宋"/>
          <w:sz w:val="28"/>
          <w:szCs w:val="28"/>
        </w:rPr>
        <w:t>日为清查基准日</w:t>
      </w:r>
      <w:r>
        <w:rPr>
          <w:rFonts w:hint="eastAsia" w:ascii="仿宋" w:hAnsi="方正仿宋_GBK" w:eastAsia="仿宋" w:cs="方正仿宋_GBK"/>
          <w:sz w:val="32"/>
          <w:szCs w:val="32"/>
        </w:rPr>
        <w:t>，</w:t>
      </w:r>
      <w:r>
        <w:rPr>
          <w:rFonts w:hint="eastAsia" w:ascii="仿宋" w:hAnsi="仿宋" w:eastAsia="仿宋" w:cs="仿宋"/>
          <w:sz w:val="28"/>
          <w:szCs w:val="28"/>
        </w:rPr>
        <w:t>对江苏省盐城技师学院及所属单位的各项资产及资产处置等情况进行全面梳理，同时对现有的各项资产进行深入清查，明确盘盈盘亏资产价值确定依据，并获取相关材料，同步做好对账外资产的清理和核查。对盘亏资产做好梳理，提供可用于报损的依据材料；对盘盈资产，提供准确识别与价值认定，提供可用于入账的依据材料。具体清查范围包含但不限于下表。</w:t>
      </w:r>
    </w:p>
    <w:tbl>
      <w:tblPr>
        <w:tblStyle w:val="15"/>
        <w:tblW w:w="4997" w:type="pct"/>
        <w:tblInd w:w="0" w:type="dxa"/>
        <w:tblLayout w:type="fixed"/>
        <w:tblCellMar>
          <w:top w:w="0" w:type="dxa"/>
          <w:left w:w="108" w:type="dxa"/>
          <w:bottom w:w="0" w:type="dxa"/>
          <w:right w:w="108" w:type="dxa"/>
        </w:tblCellMar>
      </w:tblPr>
      <w:tblGrid>
        <w:gridCol w:w="1038"/>
        <w:gridCol w:w="2227"/>
        <w:gridCol w:w="6583"/>
      </w:tblGrid>
      <w:tr w14:paraId="24309D88">
        <w:tblPrEx>
          <w:tblCellMar>
            <w:top w:w="0" w:type="dxa"/>
            <w:left w:w="108" w:type="dxa"/>
            <w:bottom w:w="0" w:type="dxa"/>
            <w:right w:w="108" w:type="dxa"/>
          </w:tblCellMar>
        </w:tblPrEx>
        <w:trPr>
          <w:trHeight w:val="280" w:hRule="atLeast"/>
        </w:trPr>
        <w:tc>
          <w:tcPr>
            <w:tcW w:w="52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8D5064">
            <w:pPr>
              <w:keepNext w:val="0"/>
              <w:keepLines w:val="0"/>
              <w:suppressLineNumbers w:val="0"/>
              <w:adjustRightInd w:val="0"/>
              <w:snapToGrid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1131" w:type="pct"/>
            <w:tcBorders>
              <w:top w:val="single" w:color="auto" w:sz="4" w:space="0"/>
              <w:left w:val="nil"/>
              <w:bottom w:val="single" w:color="auto" w:sz="4" w:space="0"/>
              <w:right w:val="single" w:color="auto" w:sz="4" w:space="0"/>
            </w:tcBorders>
            <w:shd w:val="clear" w:color="auto" w:fill="auto"/>
            <w:noWrap/>
            <w:vAlign w:val="center"/>
          </w:tcPr>
          <w:p w14:paraId="26521620">
            <w:pPr>
              <w:keepNext w:val="0"/>
              <w:keepLines w:val="0"/>
              <w:suppressLineNumbers w:val="0"/>
              <w:adjustRightInd w:val="0"/>
              <w:snapToGrid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项目</w:t>
            </w:r>
          </w:p>
        </w:tc>
        <w:tc>
          <w:tcPr>
            <w:tcW w:w="3340" w:type="pct"/>
            <w:tcBorders>
              <w:top w:val="single" w:color="auto" w:sz="4" w:space="0"/>
              <w:left w:val="nil"/>
              <w:bottom w:val="single" w:color="auto" w:sz="4" w:space="0"/>
              <w:right w:val="single" w:color="auto" w:sz="4" w:space="0"/>
            </w:tcBorders>
            <w:shd w:val="clear" w:color="auto" w:fill="auto"/>
            <w:noWrap/>
            <w:vAlign w:val="center"/>
          </w:tcPr>
          <w:p w14:paraId="36277E9A">
            <w:pPr>
              <w:keepNext w:val="0"/>
              <w:keepLines w:val="0"/>
              <w:suppressLineNumbers w:val="0"/>
              <w:adjustRightInd w:val="0"/>
              <w:snapToGrid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清查范围</w:t>
            </w:r>
          </w:p>
        </w:tc>
      </w:tr>
      <w:tr w14:paraId="49731834">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78183E19">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1</w:t>
            </w:r>
          </w:p>
        </w:tc>
        <w:tc>
          <w:tcPr>
            <w:tcW w:w="1131" w:type="pct"/>
            <w:tcBorders>
              <w:top w:val="nil"/>
              <w:left w:val="nil"/>
              <w:bottom w:val="single" w:color="auto" w:sz="4" w:space="0"/>
              <w:right w:val="single" w:color="auto" w:sz="4" w:space="0"/>
            </w:tcBorders>
            <w:shd w:val="clear" w:color="auto" w:fill="auto"/>
            <w:noWrap/>
            <w:vAlign w:val="center"/>
          </w:tcPr>
          <w:p w14:paraId="5513412A">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土地资产类</w:t>
            </w:r>
          </w:p>
        </w:tc>
        <w:tc>
          <w:tcPr>
            <w:tcW w:w="3340" w:type="pct"/>
            <w:tcBorders>
              <w:top w:val="nil"/>
              <w:left w:val="nil"/>
              <w:bottom w:val="single" w:color="auto" w:sz="4" w:space="0"/>
              <w:right w:val="single" w:color="auto" w:sz="4" w:space="0"/>
            </w:tcBorders>
            <w:shd w:val="clear" w:color="auto" w:fill="auto"/>
            <w:noWrap/>
            <w:vAlign w:val="center"/>
          </w:tcPr>
          <w:p w14:paraId="5EB7BA4E">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各类单独估价入账的土地资产</w:t>
            </w:r>
          </w:p>
        </w:tc>
      </w:tr>
      <w:tr w14:paraId="5C77D3E1">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5F7462DF">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2</w:t>
            </w:r>
          </w:p>
        </w:tc>
        <w:tc>
          <w:tcPr>
            <w:tcW w:w="1131" w:type="pct"/>
            <w:tcBorders>
              <w:top w:val="nil"/>
              <w:left w:val="nil"/>
              <w:bottom w:val="single" w:color="auto" w:sz="4" w:space="0"/>
              <w:right w:val="single" w:color="auto" w:sz="4" w:space="0"/>
            </w:tcBorders>
            <w:shd w:val="clear" w:color="auto" w:fill="auto"/>
            <w:noWrap/>
            <w:vAlign w:val="center"/>
          </w:tcPr>
          <w:p w14:paraId="0F01F901">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房屋建筑类</w:t>
            </w:r>
          </w:p>
        </w:tc>
        <w:tc>
          <w:tcPr>
            <w:tcW w:w="3340" w:type="pct"/>
            <w:tcBorders>
              <w:top w:val="nil"/>
              <w:left w:val="nil"/>
              <w:bottom w:val="single" w:color="auto" w:sz="4" w:space="0"/>
              <w:right w:val="single" w:color="auto" w:sz="4" w:space="0"/>
            </w:tcBorders>
            <w:shd w:val="clear" w:color="auto" w:fill="auto"/>
            <w:noWrap/>
            <w:vAlign w:val="center"/>
          </w:tcPr>
          <w:p w14:paraId="59BA55BB">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办公用房、在建工程等资产</w:t>
            </w:r>
          </w:p>
        </w:tc>
      </w:tr>
      <w:tr w14:paraId="729EE170">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7C083C9F">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3</w:t>
            </w:r>
          </w:p>
        </w:tc>
        <w:tc>
          <w:tcPr>
            <w:tcW w:w="1131" w:type="pct"/>
            <w:tcBorders>
              <w:top w:val="nil"/>
              <w:left w:val="nil"/>
              <w:bottom w:val="single" w:color="auto" w:sz="4" w:space="0"/>
              <w:right w:val="single" w:color="auto" w:sz="4" w:space="0"/>
            </w:tcBorders>
            <w:shd w:val="clear" w:color="auto" w:fill="auto"/>
            <w:noWrap/>
            <w:vAlign w:val="center"/>
          </w:tcPr>
          <w:p w14:paraId="630A9074">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车辆设备类</w:t>
            </w:r>
          </w:p>
        </w:tc>
        <w:tc>
          <w:tcPr>
            <w:tcW w:w="3340" w:type="pct"/>
            <w:tcBorders>
              <w:top w:val="nil"/>
              <w:left w:val="nil"/>
              <w:bottom w:val="single" w:color="auto" w:sz="4" w:space="0"/>
              <w:right w:val="single" w:color="auto" w:sz="4" w:space="0"/>
            </w:tcBorders>
            <w:shd w:val="clear" w:color="auto" w:fill="auto"/>
            <w:noWrap/>
            <w:vAlign w:val="center"/>
          </w:tcPr>
          <w:p w14:paraId="2754932D">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各种运输车辆、办公设备、家具用具、专用设备、通用设备等资产</w:t>
            </w:r>
          </w:p>
        </w:tc>
      </w:tr>
      <w:tr w14:paraId="660E2407">
        <w:tblPrEx>
          <w:tblCellMar>
            <w:top w:w="0" w:type="dxa"/>
            <w:left w:w="108" w:type="dxa"/>
            <w:bottom w:w="0" w:type="dxa"/>
            <w:right w:w="108" w:type="dxa"/>
          </w:tblCellMar>
        </w:tblPrEx>
        <w:trPr>
          <w:trHeight w:val="834" w:hRule="atLeast"/>
        </w:trPr>
        <w:tc>
          <w:tcPr>
            <w:tcW w:w="527" w:type="pct"/>
            <w:tcBorders>
              <w:top w:val="nil"/>
              <w:left w:val="single" w:color="auto" w:sz="4" w:space="0"/>
              <w:bottom w:val="single" w:color="auto" w:sz="4" w:space="0"/>
              <w:right w:val="single" w:color="auto" w:sz="4" w:space="0"/>
            </w:tcBorders>
            <w:shd w:val="clear" w:color="auto" w:fill="auto"/>
            <w:noWrap/>
            <w:vAlign w:val="center"/>
          </w:tcPr>
          <w:p w14:paraId="1D4C02CA">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sz w:val="28"/>
                <w:szCs w:val="28"/>
              </w:rPr>
              <w:t>4</w:t>
            </w:r>
          </w:p>
        </w:tc>
        <w:tc>
          <w:tcPr>
            <w:tcW w:w="1131" w:type="pct"/>
            <w:tcBorders>
              <w:top w:val="nil"/>
              <w:left w:val="nil"/>
              <w:bottom w:val="single" w:color="auto" w:sz="4" w:space="0"/>
              <w:right w:val="single" w:color="auto" w:sz="4" w:space="0"/>
            </w:tcBorders>
            <w:shd w:val="clear" w:color="auto" w:fill="auto"/>
            <w:noWrap/>
            <w:vAlign w:val="center"/>
          </w:tcPr>
          <w:p w14:paraId="0813CDFD">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股权债权类</w:t>
            </w:r>
          </w:p>
        </w:tc>
        <w:tc>
          <w:tcPr>
            <w:tcW w:w="3340" w:type="pct"/>
            <w:tcBorders>
              <w:top w:val="nil"/>
              <w:left w:val="nil"/>
              <w:bottom w:val="single" w:color="auto" w:sz="4" w:space="0"/>
              <w:right w:val="single" w:color="auto" w:sz="4" w:space="0"/>
            </w:tcBorders>
            <w:shd w:val="clear" w:color="auto" w:fill="auto"/>
            <w:vAlign w:val="center"/>
          </w:tcPr>
          <w:p w14:paraId="7AD204C6">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各种对外股权投资、应收债权等股权债权资产，以及因对外担保或资产对外抵押、质押等形成的追偿权益</w:t>
            </w:r>
          </w:p>
        </w:tc>
      </w:tr>
      <w:tr w14:paraId="420247EC">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47890360">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sz w:val="28"/>
                <w:szCs w:val="28"/>
              </w:rPr>
              <w:t>5</w:t>
            </w:r>
          </w:p>
        </w:tc>
        <w:tc>
          <w:tcPr>
            <w:tcW w:w="1131" w:type="pct"/>
            <w:tcBorders>
              <w:top w:val="nil"/>
              <w:left w:val="nil"/>
              <w:bottom w:val="single" w:color="auto" w:sz="4" w:space="0"/>
              <w:right w:val="single" w:color="auto" w:sz="4" w:space="0"/>
            </w:tcBorders>
            <w:shd w:val="clear" w:color="auto" w:fill="auto"/>
            <w:noWrap/>
            <w:vAlign w:val="center"/>
          </w:tcPr>
          <w:p w14:paraId="6E5343C0">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无形资产类</w:t>
            </w:r>
          </w:p>
        </w:tc>
        <w:tc>
          <w:tcPr>
            <w:tcW w:w="3340" w:type="pct"/>
            <w:tcBorders>
              <w:top w:val="nil"/>
              <w:left w:val="nil"/>
              <w:bottom w:val="single" w:color="auto" w:sz="4" w:space="0"/>
              <w:right w:val="single" w:color="auto" w:sz="4" w:space="0"/>
            </w:tcBorders>
            <w:shd w:val="clear" w:color="auto" w:fill="auto"/>
            <w:noWrap/>
            <w:vAlign w:val="center"/>
          </w:tcPr>
          <w:p w14:paraId="0B5B20B4">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包括专利权、非专利技术、商标权、著作权、版权、信息化系统软件等无实物形态的资产（不含土地使用权）</w:t>
            </w:r>
          </w:p>
        </w:tc>
      </w:tr>
      <w:tr w14:paraId="7DF9704A">
        <w:tblPrEx>
          <w:tblCellMar>
            <w:top w:w="0" w:type="dxa"/>
            <w:left w:w="108" w:type="dxa"/>
            <w:bottom w:w="0" w:type="dxa"/>
            <w:right w:w="108" w:type="dxa"/>
          </w:tblCellMar>
        </w:tblPrEx>
        <w:tc>
          <w:tcPr>
            <w:tcW w:w="52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BD5099">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sz w:val="28"/>
                <w:szCs w:val="28"/>
              </w:rPr>
              <w:t>6</w:t>
            </w:r>
          </w:p>
        </w:tc>
        <w:tc>
          <w:tcPr>
            <w:tcW w:w="113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C9AFF0">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其他资产类</w:t>
            </w:r>
          </w:p>
        </w:tc>
        <w:tc>
          <w:tcPr>
            <w:tcW w:w="334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6F4010">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除上述类别外的其他各类资产资源，如使用权资产类资产、代管资产等</w:t>
            </w:r>
          </w:p>
        </w:tc>
      </w:tr>
      <w:tr w14:paraId="0AA35BD5">
        <w:tblPrEx>
          <w:tblCellMar>
            <w:top w:w="0" w:type="dxa"/>
            <w:left w:w="108" w:type="dxa"/>
            <w:bottom w:w="0" w:type="dxa"/>
            <w:right w:w="108" w:type="dxa"/>
          </w:tblCellMar>
        </w:tblPrEx>
        <w:tc>
          <w:tcPr>
            <w:tcW w:w="52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2E6D57">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kern w:val="0"/>
                <w:sz w:val="28"/>
                <w:szCs w:val="28"/>
                <w:lang w:bidi="ar"/>
              </w:rPr>
            </w:pPr>
            <w:r>
              <w:rPr>
                <w:rFonts w:hint="eastAsia" w:ascii="仿宋" w:hAnsi="仿宋" w:eastAsia="仿宋" w:cs="仿宋"/>
                <w:kern w:val="0"/>
                <w:sz w:val="28"/>
                <w:szCs w:val="28"/>
                <w:lang w:bidi="ar"/>
              </w:rPr>
              <w:t>7</w:t>
            </w:r>
          </w:p>
        </w:tc>
        <w:tc>
          <w:tcPr>
            <w:tcW w:w="113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D5C44D">
            <w:pPr>
              <w:keepNext w:val="0"/>
              <w:keepLines w:val="0"/>
              <w:suppressLineNumbers w:val="0"/>
              <w:spacing w:before="0" w:beforeAutospacing="0" w:after="0" w:afterAutospacing="0" w:line="320" w:lineRule="exact"/>
              <w:ind w:left="0" w:right="0"/>
              <w:jc w:val="center"/>
              <w:rPr>
                <w:rFonts w:hint="eastAsia" w:ascii="仿宋" w:hAnsi="仿宋" w:eastAsia="仿宋" w:cs="仿宋"/>
                <w:sz w:val="28"/>
                <w:szCs w:val="28"/>
              </w:rPr>
            </w:pPr>
            <w:r>
              <w:rPr>
                <w:rFonts w:hint="eastAsia" w:ascii="仿宋" w:hAnsi="仿宋" w:eastAsia="仿宋" w:cs="仿宋"/>
                <w:sz w:val="28"/>
                <w:szCs w:val="28"/>
              </w:rPr>
              <w:t>原盐城交通技师学院国有资产</w:t>
            </w:r>
          </w:p>
        </w:tc>
        <w:tc>
          <w:tcPr>
            <w:tcW w:w="334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9668B5">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两校合并时原盐城交通技师学院所有国有资产</w:t>
            </w:r>
          </w:p>
        </w:tc>
      </w:tr>
    </w:tbl>
    <w:p w14:paraId="134C94F4">
      <w:pPr>
        <w:spacing w:line="500" w:lineRule="exact"/>
        <w:ind w:firstLine="281" w:firstLineChars="100"/>
        <w:outlineLvl w:val="1"/>
        <w:rPr>
          <w:rFonts w:hint="eastAsia" w:ascii="仿宋" w:hAnsi="仿宋" w:eastAsia="仿宋" w:cs="仿宋"/>
          <w:b/>
          <w:bCs/>
          <w:sz w:val="28"/>
          <w:szCs w:val="28"/>
        </w:rPr>
      </w:pPr>
      <w:r>
        <w:rPr>
          <w:rFonts w:hint="eastAsia" w:ascii="仿宋" w:hAnsi="仿宋" w:eastAsia="仿宋" w:cs="仿宋"/>
          <w:b/>
          <w:bCs/>
          <w:sz w:val="28"/>
          <w:szCs w:val="28"/>
        </w:rPr>
        <w:t>（三）清查处理</w:t>
      </w:r>
    </w:p>
    <w:p w14:paraId="73DBC0BF">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根据清查的实际结果，中标方根据本次资产清查实际情况，于2025年</w:t>
      </w:r>
      <w:r>
        <w:rPr>
          <w:rFonts w:hint="eastAsia" w:ascii="仿宋" w:hAnsi="仿宋" w:eastAsia="仿宋" w:cs="仿宋"/>
          <w:color w:val="C00000"/>
          <w:sz w:val="28"/>
          <w:szCs w:val="28"/>
          <w:lang w:val="en-US" w:eastAsia="zh-CN"/>
        </w:rPr>
        <w:t>4</w:t>
      </w:r>
      <w:r>
        <w:rPr>
          <w:rFonts w:hint="eastAsia" w:ascii="仿宋" w:hAnsi="仿宋" w:eastAsia="仿宋" w:cs="仿宋"/>
          <w:color w:val="C00000"/>
          <w:sz w:val="28"/>
          <w:szCs w:val="28"/>
        </w:rPr>
        <w:t>月</w:t>
      </w:r>
      <w:r>
        <w:rPr>
          <w:rFonts w:hint="eastAsia" w:ascii="仿宋" w:hAnsi="仿宋" w:eastAsia="仿宋" w:cs="仿宋"/>
          <w:color w:val="C00000"/>
          <w:sz w:val="28"/>
          <w:szCs w:val="28"/>
          <w:lang w:val="en-US" w:eastAsia="zh-CN"/>
        </w:rPr>
        <w:t>底</w:t>
      </w:r>
      <w:r>
        <w:rPr>
          <w:rFonts w:hint="eastAsia" w:ascii="仿宋" w:hAnsi="仿宋" w:eastAsia="仿宋" w:cs="仿宋"/>
          <w:sz w:val="28"/>
          <w:szCs w:val="28"/>
          <w:lang w:val="en-US" w:eastAsia="zh-CN"/>
        </w:rPr>
        <w:t>之</w:t>
      </w:r>
      <w:r>
        <w:rPr>
          <w:rFonts w:hint="eastAsia" w:ascii="仿宋" w:hAnsi="仿宋" w:eastAsia="仿宋" w:cs="仿宋"/>
          <w:sz w:val="28"/>
          <w:szCs w:val="28"/>
        </w:rPr>
        <w:t>前完成所有国有资产账务核对，出具《固定资产清查报告》和《资产专项审计报告》</w:t>
      </w:r>
      <w:r>
        <w:rPr>
          <w:rFonts w:hint="eastAsia" w:ascii="仿宋" w:hAnsi="仿宋" w:eastAsia="仿宋" w:cs="仿宋"/>
          <w:sz w:val="28"/>
          <w:szCs w:val="28"/>
          <w:lang w:val="en-US" w:eastAsia="zh-CN"/>
        </w:rPr>
        <w:t>及</w:t>
      </w:r>
      <w:r>
        <w:rPr>
          <w:rFonts w:hint="eastAsia" w:ascii="仿宋" w:hAnsi="仿宋" w:eastAsia="仿宋" w:cs="仿宋"/>
          <w:sz w:val="28"/>
          <w:szCs w:val="28"/>
        </w:rPr>
        <w:t>资产底数清单、问题资产清单、盘活利用清单，真实反映招标方的资产盘盈 、盘亏情况，对招标方资产管理存在的问题和解决思路给出合理化建议，如完善制度、内部控制、信息化管理、定期清查、加强监督等。分析报告需经招标人确认同意。报告应详尽展示清查情况，并以多样化的图文表进行展示，内容包含但不限以下内容：（1）固定资产清查工作范围</w:t>
      </w:r>
      <w:r>
        <w:rPr>
          <w:rFonts w:hint="eastAsia" w:ascii="仿宋" w:hAnsi="仿宋" w:eastAsia="仿宋" w:cs="仿宋"/>
          <w:sz w:val="28"/>
          <w:szCs w:val="28"/>
          <w:lang w:eastAsia="zh-CN"/>
        </w:rPr>
        <w:t>；</w:t>
      </w:r>
      <w:r>
        <w:rPr>
          <w:rFonts w:hint="eastAsia" w:ascii="仿宋" w:hAnsi="仿宋" w:eastAsia="仿宋" w:cs="仿宋"/>
          <w:sz w:val="28"/>
          <w:szCs w:val="28"/>
        </w:rPr>
        <w:t>（2）固定资产清查工作实施情况</w:t>
      </w:r>
      <w:r>
        <w:rPr>
          <w:rFonts w:hint="eastAsia" w:ascii="仿宋" w:hAnsi="仿宋" w:eastAsia="仿宋" w:cs="仿宋"/>
          <w:sz w:val="28"/>
          <w:szCs w:val="28"/>
          <w:lang w:eastAsia="zh-CN"/>
        </w:rPr>
        <w:t>；</w:t>
      </w:r>
      <w:r>
        <w:rPr>
          <w:rFonts w:hint="eastAsia" w:ascii="仿宋" w:hAnsi="仿宋" w:eastAsia="仿宋" w:cs="仿宋"/>
          <w:sz w:val="28"/>
          <w:szCs w:val="28"/>
        </w:rPr>
        <w:t>（3）固定资产账目情况</w:t>
      </w:r>
      <w:r>
        <w:rPr>
          <w:rFonts w:hint="eastAsia" w:ascii="仿宋" w:hAnsi="仿宋" w:eastAsia="仿宋" w:cs="仿宋"/>
          <w:sz w:val="28"/>
          <w:szCs w:val="28"/>
          <w:lang w:eastAsia="zh-CN"/>
        </w:rPr>
        <w:t>：</w:t>
      </w:r>
      <w:r>
        <w:rPr>
          <w:rFonts w:hint="eastAsia" w:ascii="仿宋" w:hAnsi="仿宋" w:eastAsia="仿宋" w:cs="仿宋"/>
          <w:sz w:val="28"/>
          <w:szCs w:val="28"/>
        </w:rPr>
        <w:t>①清查前系统数据</w:t>
      </w:r>
      <w:r>
        <w:rPr>
          <w:rFonts w:hint="eastAsia" w:ascii="仿宋" w:hAnsi="仿宋" w:eastAsia="仿宋" w:cs="仿宋"/>
          <w:sz w:val="28"/>
          <w:szCs w:val="28"/>
          <w:lang w:eastAsia="zh-CN"/>
        </w:rPr>
        <w:t>；</w:t>
      </w:r>
      <w:r>
        <w:rPr>
          <w:rFonts w:hint="eastAsia" w:ascii="仿宋" w:hAnsi="仿宋" w:eastAsia="仿宋" w:cs="仿宋"/>
          <w:sz w:val="28"/>
          <w:szCs w:val="28"/>
        </w:rPr>
        <w:t>②清查后系统数据</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rPr>
        <w:t>发现的问题</w:t>
      </w:r>
      <w:r>
        <w:rPr>
          <w:rFonts w:hint="eastAsia" w:ascii="仿宋" w:hAnsi="仿宋" w:eastAsia="仿宋" w:cs="仿宋"/>
          <w:sz w:val="28"/>
          <w:szCs w:val="28"/>
          <w:lang w:eastAsia="zh-CN"/>
        </w:rPr>
        <w:t>；</w:t>
      </w:r>
      <w:r>
        <w:rPr>
          <w:rFonts w:hint="eastAsia" w:ascii="仿宋" w:hAnsi="仿宋" w:eastAsia="仿宋" w:cs="仿宋"/>
          <w:sz w:val="28"/>
          <w:szCs w:val="28"/>
        </w:rPr>
        <w:t>（5）问题建议</w:t>
      </w:r>
      <w:r>
        <w:rPr>
          <w:rFonts w:hint="eastAsia" w:ascii="仿宋" w:hAnsi="仿宋" w:eastAsia="仿宋" w:cs="仿宋"/>
          <w:sz w:val="28"/>
          <w:szCs w:val="28"/>
          <w:lang w:eastAsia="zh-CN"/>
        </w:rPr>
        <w:t>。</w:t>
      </w:r>
      <w:r>
        <w:rPr>
          <w:rFonts w:hint="eastAsia" w:ascii="仿宋" w:hAnsi="仿宋" w:eastAsia="仿宋" w:cs="仿宋"/>
          <w:sz w:val="28"/>
          <w:szCs w:val="28"/>
        </w:rPr>
        <w:t>针对问题资产，2025年</w:t>
      </w:r>
      <w:r>
        <w:rPr>
          <w:rFonts w:hint="eastAsia" w:ascii="仿宋" w:hAnsi="仿宋" w:eastAsia="仿宋" w:cs="仿宋"/>
          <w:color w:val="C00000"/>
          <w:sz w:val="28"/>
          <w:szCs w:val="28"/>
          <w:lang w:val="en-US" w:eastAsia="zh-CN"/>
        </w:rPr>
        <w:t>5</w:t>
      </w:r>
      <w:r>
        <w:rPr>
          <w:rFonts w:hint="eastAsia" w:ascii="仿宋" w:hAnsi="仿宋" w:eastAsia="仿宋" w:cs="仿宋"/>
          <w:color w:val="C00000"/>
          <w:sz w:val="28"/>
          <w:szCs w:val="28"/>
        </w:rPr>
        <w:t>月</w:t>
      </w:r>
      <w:r>
        <w:rPr>
          <w:rFonts w:hint="eastAsia" w:ascii="仿宋" w:hAnsi="仿宋" w:eastAsia="仿宋" w:cs="仿宋"/>
          <w:color w:val="C00000"/>
          <w:sz w:val="28"/>
          <w:szCs w:val="28"/>
          <w:lang w:val="en-US" w:eastAsia="zh-CN"/>
        </w:rPr>
        <w:t>底</w:t>
      </w:r>
      <w:r>
        <w:rPr>
          <w:rFonts w:hint="eastAsia" w:ascii="仿宋" w:hAnsi="仿宋" w:eastAsia="仿宋" w:cs="仿宋"/>
          <w:sz w:val="28"/>
          <w:szCs w:val="28"/>
        </w:rPr>
        <w:t>之前出具符合财政部门要求的整改报告。此外，对两校合并时原盐城交通技师学院国有资产的清查情况出具符合财政部门资产处置要求的清查结果报告和盘盈盘亏报告</w:t>
      </w:r>
      <w:r>
        <w:rPr>
          <w:rFonts w:hint="eastAsia" w:ascii="仿宋" w:hAnsi="仿宋" w:eastAsia="仿宋" w:cs="仿宋"/>
          <w:sz w:val="28"/>
          <w:szCs w:val="28"/>
          <w:lang w:eastAsia="zh-CN"/>
        </w:rPr>
        <w:t>；</w:t>
      </w:r>
      <w:r>
        <w:rPr>
          <w:rFonts w:hint="eastAsia" w:ascii="仿宋" w:hAnsi="仿宋" w:eastAsia="仿宋" w:cs="仿宋"/>
          <w:color w:val="FF0000"/>
          <w:sz w:val="28"/>
          <w:szCs w:val="28"/>
          <w:lang w:val="en-US" w:eastAsia="zh-CN"/>
        </w:rPr>
        <w:t>同时协助学校对以2024年9月30日为清查基准日的全面清查出具的资产清查报告、资产清单和问题资产等材料进行核对和调整。</w:t>
      </w:r>
      <w:r>
        <w:rPr>
          <w:rFonts w:hint="eastAsia" w:ascii="仿宋" w:hAnsi="仿宋" w:eastAsia="仿宋" w:cs="仿宋"/>
          <w:sz w:val="28"/>
          <w:szCs w:val="28"/>
        </w:rPr>
        <w:t>根据清查数据，录入江苏省属高校国有资产管理信息系统。2025年</w:t>
      </w:r>
      <w:r>
        <w:rPr>
          <w:rFonts w:hint="eastAsia" w:ascii="仿宋" w:hAnsi="仿宋" w:eastAsia="仿宋" w:cs="仿宋"/>
          <w:color w:val="FF0000"/>
          <w:sz w:val="28"/>
          <w:szCs w:val="28"/>
          <w:lang w:val="en-US" w:eastAsia="zh-CN"/>
        </w:rPr>
        <w:t>7</w:t>
      </w:r>
      <w:r>
        <w:rPr>
          <w:rFonts w:hint="eastAsia" w:ascii="仿宋" w:hAnsi="仿宋" w:eastAsia="仿宋" w:cs="仿宋"/>
          <w:color w:val="FF0000"/>
          <w:sz w:val="28"/>
          <w:szCs w:val="28"/>
        </w:rPr>
        <w:t>月</w:t>
      </w:r>
      <w:r>
        <w:rPr>
          <w:rFonts w:hint="eastAsia" w:ascii="仿宋" w:hAnsi="仿宋" w:eastAsia="仿宋" w:cs="仿宋"/>
          <w:color w:val="FF0000"/>
          <w:sz w:val="28"/>
          <w:szCs w:val="28"/>
          <w:lang w:val="en-US" w:eastAsia="zh-CN"/>
        </w:rPr>
        <w:t>底之</w:t>
      </w:r>
      <w:r>
        <w:rPr>
          <w:rFonts w:hint="eastAsia" w:ascii="仿宋" w:hAnsi="仿宋" w:eastAsia="仿宋" w:cs="仿宋"/>
          <w:color w:val="FF0000"/>
          <w:sz w:val="28"/>
          <w:szCs w:val="28"/>
        </w:rPr>
        <w:t>前</w:t>
      </w:r>
      <w:r>
        <w:rPr>
          <w:rFonts w:hint="eastAsia" w:ascii="仿宋" w:hAnsi="仿宋" w:eastAsia="仿宋" w:cs="仿宋"/>
          <w:sz w:val="28"/>
          <w:szCs w:val="28"/>
        </w:rPr>
        <w:t>完成建立卡片、登记台账、粘贴标签标牌、复核验收等全部清查建档工作，并将清查结果报告清查领导小组办公室进行复核验收。具体第三方服务机构服务内容见下表。</w:t>
      </w:r>
    </w:p>
    <w:p w14:paraId="42ECB803">
      <w:pPr>
        <w:jc w:val="center"/>
        <w:outlineLvl w:val="2"/>
        <w:rPr>
          <w:rFonts w:hint="eastAsia" w:asciiTheme="minorEastAsia" w:hAnsiTheme="minorEastAsia"/>
          <w:b/>
          <w:sz w:val="32"/>
          <w:szCs w:val="32"/>
        </w:rPr>
      </w:pPr>
      <w:r>
        <w:rPr>
          <w:rFonts w:hint="eastAsia" w:asciiTheme="minorEastAsia" w:hAnsiTheme="minorEastAsia"/>
          <w:b/>
          <w:sz w:val="32"/>
          <w:szCs w:val="32"/>
        </w:rPr>
        <w:t>遴选国有资产清查第三方服务机构的采购需求表</w:t>
      </w:r>
    </w:p>
    <w:tbl>
      <w:tblPr>
        <w:tblStyle w:val="15"/>
        <w:tblW w:w="10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1289"/>
        <w:gridCol w:w="1584"/>
        <w:gridCol w:w="7081"/>
      </w:tblGrid>
      <w:tr w14:paraId="44CA2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884" w:type="dxa"/>
            <w:vAlign w:val="center"/>
          </w:tcPr>
          <w:p w14:paraId="0E5C2D79">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1289" w:type="dxa"/>
            <w:vAlign w:val="center"/>
          </w:tcPr>
          <w:p w14:paraId="01494165">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清查服务阶段</w:t>
            </w:r>
          </w:p>
        </w:tc>
        <w:tc>
          <w:tcPr>
            <w:tcW w:w="1584" w:type="dxa"/>
            <w:vAlign w:val="center"/>
          </w:tcPr>
          <w:p w14:paraId="725E6946">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实施时间（2025年）</w:t>
            </w:r>
          </w:p>
        </w:tc>
        <w:tc>
          <w:tcPr>
            <w:tcW w:w="7081" w:type="dxa"/>
            <w:vAlign w:val="center"/>
          </w:tcPr>
          <w:p w14:paraId="2AF99B5E">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具体服务内容</w:t>
            </w:r>
          </w:p>
        </w:tc>
      </w:tr>
      <w:tr w14:paraId="4628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884" w:type="dxa"/>
            <w:vAlign w:val="center"/>
          </w:tcPr>
          <w:p w14:paraId="1AD164C3">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1</w:t>
            </w:r>
          </w:p>
        </w:tc>
        <w:tc>
          <w:tcPr>
            <w:tcW w:w="1289" w:type="dxa"/>
            <w:vAlign w:val="center"/>
          </w:tcPr>
          <w:p w14:paraId="6E134841">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准备</w:t>
            </w:r>
          </w:p>
          <w:p w14:paraId="74C7E763">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阶段</w:t>
            </w:r>
          </w:p>
        </w:tc>
        <w:tc>
          <w:tcPr>
            <w:tcW w:w="1584" w:type="dxa"/>
            <w:vAlign w:val="center"/>
          </w:tcPr>
          <w:p w14:paraId="3404B1E2">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color w:val="FF0000"/>
                <w:sz w:val="28"/>
                <w:szCs w:val="28"/>
              </w:rPr>
              <w:t>3月底</w:t>
            </w:r>
          </w:p>
        </w:tc>
        <w:tc>
          <w:tcPr>
            <w:tcW w:w="7081" w:type="dxa"/>
            <w:vAlign w:val="center"/>
          </w:tcPr>
          <w:p w14:paraId="3328FAC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项目正式实施前，中标方需要提前到校进行全方面的调研评估， 根据调研结果出具详细的工作范围（ 含基准日）、分工安排、工作进度、实施方案、数据保密与备份方案、信息安全保障措施、《固定资产清查情况分析报告》模板等，形成详尽、可行、高效的《资产数据治理工作方案》并提交资产清查和数据治理工作启动说明等，并与招 标人达成一致，否则招标方有权拒绝工作的启动，中标方有责任对工作方案进行整改和修订， 直至满足工作要求。</w:t>
            </w:r>
          </w:p>
        </w:tc>
      </w:tr>
      <w:tr w14:paraId="2FC33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2" w:hRule="atLeast"/>
          <w:jc w:val="center"/>
        </w:trPr>
        <w:tc>
          <w:tcPr>
            <w:tcW w:w="884" w:type="dxa"/>
            <w:vAlign w:val="center"/>
          </w:tcPr>
          <w:p w14:paraId="191619F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2</w:t>
            </w:r>
          </w:p>
        </w:tc>
        <w:tc>
          <w:tcPr>
            <w:tcW w:w="1289" w:type="dxa"/>
            <w:vAlign w:val="center"/>
          </w:tcPr>
          <w:p w14:paraId="7FEF00BA">
            <w:pPr>
              <w:keepNext w:val="0"/>
              <w:keepLines w:val="0"/>
              <w:suppressLineNumbers w:val="0"/>
              <w:spacing w:before="0" w:beforeAutospacing="0" w:after="0" w:afterAutospacing="0" w:line="500" w:lineRule="exact"/>
              <w:ind w:left="0" w:right="0"/>
              <w:jc w:val="center"/>
              <w:rPr>
                <w:rFonts w:hint="eastAsia" w:ascii="仿宋" w:hAnsi="仿宋" w:eastAsia="仿宋" w:cs="仿宋"/>
                <w:b/>
                <w:bCs/>
                <w:sz w:val="28"/>
                <w:szCs w:val="28"/>
              </w:rPr>
            </w:pPr>
            <w:r>
              <w:rPr>
                <w:rFonts w:hint="eastAsia" w:ascii="仿宋" w:hAnsi="仿宋" w:eastAsia="仿宋" w:cs="仿宋"/>
                <w:sz w:val="28"/>
                <w:szCs w:val="28"/>
              </w:rPr>
              <w:t>实物盘点阶段</w:t>
            </w:r>
          </w:p>
        </w:tc>
        <w:tc>
          <w:tcPr>
            <w:tcW w:w="1584" w:type="dxa"/>
            <w:vAlign w:val="center"/>
          </w:tcPr>
          <w:p w14:paraId="0EFBE446">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FF0000"/>
                <w:sz w:val="28"/>
                <w:szCs w:val="36"/>
              </w:rPr>
              <w:t>4月上旬</w:t>
            </w:r>
          </w:p>
        </w:tc>
        <w:tc>
          <w:tcPr>
            <w:tcW w:w="7081" w:type="dxa"/>
            <w:vAlign w:val="center"/>
          </w:tcPr>
          <w:p w14:paraId="7BB48595">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color w:val="FF0000"/>
                <w:sz w:val="28"/>
                <w:szCs w:val="28"/>
              </w:rPr>
            </w:pPr>
            <w:r>
              <w:rPr>
                <w:rFonts w:hint="eastAsia" w:ascii="仿宋" w:hAnsi="仿宋" w:eastAsia="仿宋" w:cs="仿宋"/>
                <w:color w:val="FF0000"/>
                <w:sz w:val="28"/>
                <w:szCs w:val="36"/>
              </w:rPr>
              <w:t>1.查阅会计账，核实国有资产财务账与实物账，对应入账日期与凭证号，核对资产折旧情况，最终保持实物账、资产管理系统账与财务账一致；</w:t>
            </w:r>
          </w:p>
          <w:p w14:paraId="7070F8EA">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color w:val="FF0000"/>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w:t>
            </w:r>
            <w:r>
              <w:rPr>
                <w:rFonts w:hint="eastAsia" w:ascii="仿宋" w:hAnsi="仿宋" w:eastAsia="仿宋" w:cs="仿宋"/>
                <w:sz w:val="28"/>
                <w:szCs w:val="28"/>
              </w:rPr>
              <w:drawing>
                <wp:anchor distT="0" distB="0" distL="0" distR="0" simplePos="0" relativeHeight="251659264" behindDoc="1" locked="0" layoutInCell="1" allowOverlap="1">
                  <wp:simplePos x="0" y="0"/>
                  <wp:positionH relativeFrom="column">
                    <wp:posOffset>6359525</wp:posOffset>
                  </wp:positionH>
                  <wp:positionV relativeFrom="paragraph">
                    <wp:posOffset>855980</wp:posOffset>
                  </wp:positionV>
                  <wp:extent cx="63500" cy="1536700"/>
                  <wp:effectExtent l="0" t="0" r="12700" b="635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5"/>
                          <a:stretch>
                            <a:fillRect/>
                          </a:stretch>
                        </pic:blipFill>
                        <pic:spPr>
                          <a:xfrm>
                            <a:off x="0" y="0"/>
                            <a:ext cx="63500" cy="1536700"/>
                          </a:xfrm>
                          <a:prstGeom prst="rect">
                            <a:avLst/>
                          </a:prstGeom>
                        </pic:spPr>
                      </pic:pic>
                    </a:graphicData>
                  </a:graphic>
                </wp:anchor>
              </w:drawing>
            </w:r>
            <w:r>
              <w:rPr>
                <w:rFonts w:hint="eastAsia" w:ascii="仿宋" w:hAnsi="仿宋" w:eastAsia="仿宋" w:cs="仿宋"/>
                <w:sz w:val="28"/>
                <w:szCs w:val="28"/>
              </w:rPr>
              <w:t>对江苏省盐城技师学院所有固定资产进行资产盘点，盘点过程根据招标方安排的时间和地点开展。盘点过程中，需要对资产的名称、使用人、使用部门 、存放地点 、品牌、规格型号、产权是否清晰等信息项进行核对，信息不全的需补充完整，确保资产清查记录信息 准确无误，与实物资产能一一对应，资产清查过程中，每项资产的各项信息必须经使用人或保管人签字确认。盘点的同时将实物已报废、损坏的资产做单独标记或集中放置；</w:t>
            </w:r>
          </w:p>
          <w:p w14:paraId="390A1EA5">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.根据各部门资产盘点情况，填写部门资产清查盘点表和部门问题资产清单，提出解决方案反馈给各部门负责人；</w:t>
            </w:r>
          </w:p>
          <w:p w14:paraId="544680AC">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.汇总学校资产清查盘点表。</w:t>
            </w:r>
          </w:p>
        </w:tc>
      </w:tr>
      <w:tr w14:paraId="0788E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884" w:type="dxa"/>
            <w:vAlign w:val="center"/>
          </w:tcPr>
          <w:p w14:paraId="6E98E0D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3</w:t>
            </w:r>
          </w:p>
        </w:tc>
        <w:tc>
          <w:tcPr>
            <w:tcW w:w="1289" w:type="dxa"/>
            <w:vAlign w:val="center"/>
          </w:tcPr>
          <w:p w14:paraId="79F6AF2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对账</w:t>
            </w:r>
          </w:p>
          <w:p w14:paraId="07AA98EE">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阶段</w:t>
            </w:r>
          </w:p>
        </w:tc>
        <w:tc>
          <w:tcPr>
            <w:tcW w:w="1584" w:type="dxa"/>
            <w:vAlign w:val="center"/>
          </w:tcPr>
          <w:p w14:paraId="36B99EA1">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color w:val="FF0000"/>
                <w:sz w:val="28"/>
                <w:szCs w:val="36"/>
              </w:rPr>
              <w:t>4月中旬</w:t>
            </w:r>
          </w:p>
        </w:tc>
        <w:tc>
          <w:tcPr>
            <w:tcW w:w="7081" w:type="dxa"/>
            <w:vAlign w:val="center"/>
          </w:tcPr>
          <w:p w14:paraId="573571A1">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lang w:val="en-US" w:eastAsia="zh-CN"/>
              </w:rPr>
              <w:t>1</w:t>
            </w:r>
            <w:r>
              <w:rPr>
                <w:rFonts w:hint="eastAsia" w:ascii="仿宋" w:hAnsi="仿宋" w:eastAsia="仿宋" w:cs="仿宋"/>
                <w:sz w:val="28"/>
                <w:szCs w:val="36"/>
              </w:rPr>
              <w:t>.将资产实物账与财务账进行核对，整理出正常使用，盘盈，盘亏，报废资产四套报表；</w:t>
            </w:r>
          </w:p>
          <w:p w14:paraId="385500CF">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lang w:val="en-US" w:eastAsia="zh-CN"/>
              </w:rPr>
              <w:t>2</w:t>
            </w:r>
            <w:r>
              <w:rPr>
                <w:rFonts w:hint="eastAsia" w:ascii="仿宋" w:hAnsi="仿宋" w:eastAsia="仿宋" w:cs="仿宋"/>
                <w:sz w:val="28"/>
                <w:szCs w:val="36"/>
              </w:rPr>
              <w:t>.对盘盈资产进行整理，</w:t>
            </w:r>
            <w:r>
              <w:rPr>
                <w:rFonts w:hint="eastAsia" w:ascii="仿宋" w:hAnsi="仿宋" w:eastAsia="仿宋" w:cs="仿宋"/>
                <w:sz w:val="28"/>
                <w:szCs w:val="28"/>
              </w:rPr>
              <w:t>生成学校资产盘盈表和资产盘亏表，对于盘盈的资产进行估价，并出示估价报告；</w:t>
            </w:r>
          </w:p>
          <w:p w14:paraId="300CDE71">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lang w:val="en-US" w:eastAsia="zh-CN"/>
              </w:rPr>
              <w:t>3</w:t>
            </w:r>
            <w:r>
              <w:rPr>
                <w:rFonts w:hint="eastAsia" w:ascii="仿宋" w:hAnsi="仿宋" w:eastAsia="仿宋" w:cs="仿宋"/>
                <w:sz w:val="28"/>
                <w:szCs w:val="36"/>
              </w:rPr>
              <w:t>.待报废资产整理出达到年限待报废的资产明细表及未达到报废年限待报资产明细表；</w:t>
            </w:r>
          </w:p>
          <w:p w14:paraId="78BE5556">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lang w:val="en-US" w:eastAsia="zh-CN"/>
              </w:rPr>
              <w:t>4</w:t>
            </w:r>
            <w:r>
              <w:rPr>
                <w:rFonts w:hint="eastAsia" w:ascii="仿宋" w:hAnsi="仿宋" w:eastAsia="仿宋" w:cs="仿宋"/>
                <w:sz w:val="28"/>
                <w:szCs w:val="36"/>
              </w:rPr>
              <w:t>.对资产账面和财务账面的在建工程、出租、出借、对外投资等数据进行对比；</w:t>
            </w:r>
          </w:p>
          <w:p w14:paraId="38DCBE9A">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28"/>
              </w:rPr>
            </w:pPr>
            <w:r>
              <w:rPr>
                <w:rFonts w:hint="eastAsia" w:ascii="仿宋" w:hAnsi="仿宋" w:eastAsia="仿宋" w:cs="仿宋"/>
                <w:sz w:val="28"/>
                <w:szCs w:val="36"/>
                <w:lang w:val="en-US" w:eastAsia="zh-CN"/>
              </w:rPr>
              <w:t>5</w:t>
            </w:r>
            <w:r>
              <w:rPr>
                <w:rFonts w:hint="eastAsia" w:ascii="仿宋" w:hAnsi="仿宋" w:eastAsia="仿宋" w:cs="仿宋"/>
                <w:sz w:val="28"/>
                <w:szCs w:val="36"/>
              </w:rPr>
              <w:t>.对资产账面和财务账面的无形资产、受托代理资产等进行对比。</w:t>
            </w:r>
          </w:p>
        </w:tc>
      </w:tr>
      <w:tr w14:paraId="6F062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4" w:hRule="atLeast"/>
          <w:jc w:val="center"/>
        </w:trPr>
        <w:tc>
          <w:tcPr>
            <w:tcW w:w="884" w:type="dxa"/>
            <w:vAlign w:val="center"/>
          </w:tcPr>
          <w:p w14:paraId="29CF90C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4</w:t>
            </w:r>
          </w:p>
        </w:tc>
        <w:tc>
          <w:tcPr>
            <w:tcW w:w="1289" w:type="dxa"/>
            <w:vAlign w:val="center"/>
          </w:tcPr>
          <w:p w14:paraId="1AF21BE7">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清查数据填报核对阶段</w:t>
            </w:r>
          </w:p>
        </w:tc>
        <w:tc>
          <w:tcPr>
            <w:tcW w:w="1584" w:type="dxa"/>
            <w:vAlign w:val="center"/>
          </w:tcPr>
          <w:p w14:paraId="55253F30">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color w:val="FF0000"/>
                <w:sz w:val="28"/>
                <w:szCs w:val="36"/>
              </w:rPr>
              <w:t>4月下旬</w:t>
            </w:r>
          </w:p>
        </w:tc>
        <w:tc>
          <w:tcPr>
            <w:tcW w:w="7081" w:type="dxa"/>
            <w:vAlign w:val="center"/>
          </w:tcPr>
          <w:p w14:paraId="10F5FF37">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1.在江苏省属高校国有资产管理信息系统中录入与核对清查数据，包括</w:t>
            </w:r>
            <w:r>
              <w:rPr>
                <w:rFonts w:hint="eastAsia" w:ascii="仿宋" w:hAnsi="仿宋" w:eastAsia="仿宋" w:cs="仿宋"/>
                <w:sz w:val="28"/>
                <w:szCs w:val="36"/>
              </w:rPr>
              <w:t>固定资产的存放地点、使用部门、使用人负责人、条码、折旧等信息；无形资产数据出租、出借数据；在建工程数据等；</w:t>
            </w:r>
          </w:p>
          <w:p w14:paraId="484C8E3D">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color w:val="FF0000"/>
                <w:sz w:val="28"/>
                <w:szCs w:val="28"/>
              </w:rPr>
            </w:pPr>
            <w:r>
              <w:rPr>
                <w:rFonts w:hint="eastAsia" w:ascii="仿宋" w:hAnsi="仿宋" w:eastAsia="仿宋" w:cs="仿宋"/>
                <w:sz w:val="28"/>
                <w:szCs w:val="28"/>
              </w:rPr>
              <w:t>2.根据清查结果，修改系统数据，保证资产的使用人、使用部门、存放地点、规格型号、品牌等信息准确，确保账账相符、账实相符，并上传每件资产的真实图片信息；</w:t>
            </w:r>
          </w:p>
          <w:p w14:paraId="3BF988E9">
            <w:pPr>
              <w:pStyle w:val="18"/>
              <w:keepNext w:val="0"/>
              <w:keepLines w:val="0"/>
              <w:suppressLineNumbers w:val="0"/>
              <w:spacing w:before="0" w:beforeAutospacing="0" w:after="0" w:afterAutospacing="0" w:line="460" w:lineRule="exact"/>
              <w:ind w:left="0" w:right="0" w:firstLine="560" w:firstLineChars="200"/>
              <w:rPr>
                <w:rFonts w:hint="default"/>
                <w:kern w:val="2"/>
              </w:rPr>
            </w:pPr>
            <w:r>
              <w:rPr>
                <w:rFonts w:hint="eastAsia" w:ascii="仿宋" w:hAnsi="仿宋" w:eastAsia="仿宋" w:cs="仿宋"/>
                <w:kern w:val="2"/>
                <w:sz w:val="28"/>
                <w:szCs w:val="28"/>
              </w:rPr>
              <w:t>3.出具符合财政要求的国有资产清查结果报告和资产底数清单、问题资产清单、盘活利用清单</w:t>
            </w:r>
            <w:r>
              <w:rPr>
                <w:rFonts w:hint="eastAsia" w:ascii="仿宋" w:hAnsi="仿宋" w:eastAsia="仿宋" w:cs="仿宋"/>
                <w:color w:val="0000FF"/>
                <w:kern w:val="2"/>
                <w:sz w:val="28"/>
                <w:szCs w:val="28"/>
              </w:rPr>
              <w:t>。</w:t>
            </w:r>
          </w:p>
        </w:tc>
      </w:tr>
      <w:tr w14:paraId="42DE2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6" w:hRule="atLeast"/>
          <w:jc w:val="center"/>
        </w:trPr>
        <w:tc>
          <w:tcPr>
            <w:tcW w:w="884" w:type="dxa"/>
            <w:vAlign w:val="center"/>
          </w:tcPr>
          <w:p w14:paraId="5A58890E">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5</w:t>
            </w:r>
          </w:p>
        </w:tc>
        <w:tc>
          <w:tcPr>
            <w:tcW w:w="1289" w:type="dxa"/>
            <w:vAlign w:val="center"/>
          </w:tcPr>
          <w:p w14:paraId="118EC1AB">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系统数据处理阶段</w:t>
            </w:r>
          </w:p>
        </w:tc>
        <w:tc>
          <w:tcPr>
            <w:tcW w:w="1584" w:type="dxa"/>
            <w:vAlign w:val="center"/>
          </w:tcPr>
          <w:p w14:paraId="2CA87FF5">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color w:val="FF0000"/>
                <w:sz w:val="28"/>
                <w:szCs w:val="36"/>
              </w:rPr>
              <w:t>5月上旬</w:t>
            </w:r>
          </w:p>
        </w:tc>
        <w:tc>
          <w:tcPr>
            <w:tcW w:w="7081" w:type="dxa"/>
            <w:vAlign w:val="center"/>
          </w:tcPr>
          <w:p w14:paraId="5741B4BE">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1.对于信息变更的资产信息，在江苏省属高校国有资产管理信息系统中逐条逐笔根据规范的变动流程进行变更调整；</w:t>
            </w:r>
          </w:p>
          <w:p w14:paraId="0EBFB598">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2.对于盘盈盘亏的的资产，按照规范的处置流程进行逐条逐笔处理；</w:t>
            </w:r>
          </w:p>
          <w:p w14:paraId="6BA63027">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3.对于江苏省属高校国有资产管理信息系统内资产信息不完善不规范的信息，逐条逐笔进行修改完善；</w:t>
            </w:r>
          </w:p>
          <w:p w14:paraId="6192414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4.对于江苏省属高校国有资产管理信息系统内成批录入的设备等资产信息，按照一物一卡的管理原则，逐条逐笔进行修正。</w:t>
            </w:r>
          </w:p>
        </w:tc>
      </w:tr>
      <w:tr w14:paraId="69483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4" w:hRule="atLeast"/>
          <w:jc w:val="center"/>
        </w:trPr>
        <w:tc>
          <w:tcPr>
            <w:tcW w:w="884" w:type="dxa"/>
            <w:vAlign w:val="center"/>
          </w:tcPr>
          <w:p w14:paraId="5EDD36D9">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6</w:t>
            </w:r>
          </w:p>
        </w:tc>
        <w:tc>
          <w:tcPr>
            <w:tcW w:w="1289" w:type="dxa"/>
            <w:vAlign w:val="center"/>
          </w:tcPr>
          <w:p w14:paraId="678E1A31">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整改</w:t>
            </w:r>
          </w:p>
          <w:p w14:paraId="518FB133">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报告</w:t>
            </w:r>
          </w:p>
        </w:tc>
        <w:tc>
          <w:tcPr>
            <w:tcW w:w="1584" w:type="dxa"/>
            <w:vAlign w:val="center"/>
          </w:tcPr>
          <w:p w14:paraId="108DE4D8">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color w:val="FF0000"/>
                <w:sz w:val="28"/>
                <w:szCs w:val="36"/>
              </w:rPr>
              <w:t>5月中下旬</w:t>
            </w:r>
          </w:p>
        </w:tc>
        <w:tc>
          <w:tcPr>
            <w:tcW w:w="7081" w:type="dxa"/>
            <w:vAlign w:val="center"/>
          </w:tcPr>
          <w:p w14:paraId="2E90FADA">
            <w:pPr>
              <w:keepNext w:val="0"/>
              <w:keepLines w:val="0"/>
              <w:suppressLineNumbers w:val="0"/>
              <w:tabs>
                <w:tab w:val="left" w:pos="312"/>
              </w:tabs>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1.根据《盐城市本级行政事业单位通用办公设备和办公家具配置标准》规定分析我校(含个人)配置情况，并对超标置设备进行调整、规范；</w:t>
            </w:r>
          </w:p>
          <w:p w14:paraId="0AF44282">
            <w:pPr>
              <w:pStyle w:val="18"/>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color w:val="auto"/>
                <w:kern w:val="2"/>
                <w:sz w:val="28"/>
                <w:szCs w:val="28"/>
                <w14:ligatures w14:val="none"/>
              </w:rPr>
            </w:pPr>
            <w:r>
              <w:rPr>
                <w:rFonts w:hint="eastAsia" w:ascii="仿宋" w:hAnsi="仿宋" w:eastAsia="仿宋" w:cs="仿宋"/>
                <w:color w:val="auto"/>
                <w:kern w:val="2"/>
                <w:sz w:val="28"/>
                <w:szCs w:val="28"/>
                <w14:ligatures w14:val="none"/>
              </w:rPr>
              <w:t>2.根据待报废资产明细表及市财政要求，协助学校完成上报国有资产报废处置材料，对待报废资产进行合规处理；</w:t>
            </w:r>
          </w:p>
          <w:p w14:paraId="57A8296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3.根据学校问题资产清单，出具符合财政部门要求的整改报告。</w:t>
            </w:r>
          </w:p>
        </w:tc>
      </w:tr>
      <w:tr w14:paraId="45900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884" w:type="dxa"/>
            <w:vAlign w:val="center"/>
          </w:tcPr>
          <w:p w14:paraId="11AF1F39">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7</w:t>
            </w:r>
          </w:p>
        </w:tc>
        <w:tc>
          <w:tcPr>
            <w:tcW w:w="1289" w:type="dxa"/>
            <w:vAlign w:val="center"/>
          </w:tcPr>
          <w:p w14:paraId="064D78F2">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打印、粘贴条码阶段</w:t>
            </w:r>
          </w:p>
        </w:tc>
        <w:tc>
          <w:tcPr>
            <w:tcW w:w="1584" w:type="dxa"/>
            <w:vAlign w:val="center"/>
          </w:tcPr>
          <w:p w14:paraId="652587F8">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color w:val="FF0000"/>
                <w:sz w:val="28"/>
                <w:szCs w:val="36"/>
              </w:rPr>
              <w:t>6月份</w:t>
            </w:r>
          </w:p>
        </w:tc>
        <w:tc>
          <w:tcPr>
            <w:tcW w:w="7081" w:type="dxa"/>
            <w:vAlign w:val="center"/>
          </w:tcPr>
          <w:p w14:paraId="6BDE2DCD">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中标方根据资产系统已更新的数据，对已确认的资产在资产系统中打印二维码标签，并根据所属部门、存放地点整理归类，到学校各部门按照固定资产标签信息进行粘贴。</w:t>
            </w:r>
          </w:p>
        </w:tc>
      </w:tr>
      <w:tr w14:paraId="5649F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7" w:hRule="atLeast"/>
          <w:jc w:val="center"/>
        </w:trPr>
        <w:tc>
          <w:tcPr>
            <w:tcW w:w="884" w:type="dxa"/>
            <w:vAlign w:val="center"/>
          </w:tcPr>
          <w:p w14:paraId="40D824A1">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8</w:t>
            </w:r>
          </w:p>
        </w:tc>
        <w:tc>
          <w:tcPr>
            <w:tcW w:w="1289" w:type="dxa"/>
            <w:vAlign w:val="center"/>
          </w:tcPr>
          <w:p w14:paraId="3F02118D">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建立资产卡片、台账</w:t>
            </w:r>
          </w:p>
        </w:tc>
        <w:tc>
          <w:tcPr>
            <w:tcW w:w="1584" w:type="dxa"/>
            <w:vAlign w:val="center"/>
          </w:tcPr>
          <w:p w14:paraId="4D6818A0">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color w:val="FF0000"/>
                <w:sz w:val="28"/>
                <w:szCs w:val="36"/>
              </w:rPr>
              <w:t>7月上旬</w:t>
            </w:r>
          </w:p>
        </w:tc>
        <w:tc>
          <w:tcPr>
            <w:tcW w:w="7081" w:type="dxa"/>
            <w:vAlign w:val="center"/>
          </w:tcPr>
          <w:p w14:paraId="2D859A2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1.资产清查完成，对江苏省属高校国有资产管理信息系统内部固定资产数据和固定资产账进行调整和确认；</w:t>
            </w:r>
          </w:p>
          <w:p w14:paraId="79769BF5">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2.数据调整完成后，配合学校打印单位固定资产账表并存档，协助学校建立资产使用（保管或负责）部门的固定资产明细账。</w:t>
            </w:r>
          </w:p>
        </w:tc>
      </w:tr>
      <w:tr w14:paraId="0FC1B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jc w:val="center"/>
        </w:trPr>
        <w:tc>
          <w:tcPr>
            <w:tcW w:w="884" w:type="dxa"/>
            <w:vAlign w:val="center"/>
          </w:tcPr>
          <w:p w14:paraId="6F0E25E5">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9</w:t>
            </w:r>
          </w:p>
        </w:tc>
        <w:tc>
          <w:tcPr>
            <w:tcW w:w="1289" w:type="dxa"/>
            <w:vAlign w:val="center"/>
          </w:tcPr>
          <w:p w14:paraId="0CD0B4D6">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培训</w:t>
            </w:r>
          </w:p>
          <w:p w14:paraId="3DB625EC">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总结</w:t>
            </w:r>
          </w:p>
        </w:tc>
        <w:tc>
          <w:tcPr>
            <w:tcW w:w="1584" w:type="dxa"/>
            <w:vAlign w:val="center"/>
          </w:tcPr>
          <w:p w14:paraId="0FD9A0B6">
            <w:pPr>
              <w:keepNext w:val="0"/>
              <w:keepLines w:val="0"/>
              <w:suppressLineNumbers w:val="0"/>
              <w:spacing w:before="0" w:beforeAutospacing="0" w:after="0" w:afterAutospacing="0" w:line="500" w:lineRule="exact"/>
              <w:ind w:left="0" w:right="0"/>
              <w:rPr>
                <w:rFonts w:hint="eastAsia" w:ascii="仿宋" w:hAnsi="仿宋" w:eastAsia="仿宋" w:cs="仿宋"/>
                <w:sz w:val="28"/>
                <w:szCs w:val="28"/>
              </w:rPr>
            </w:pPr>
            <w:r>
              <w:rPr>
                <w:rFonts w:hint="eastAsia" w:ascii="仿宋" w:hAnsi="仿宋" w:eastAsia="仿宋" w:cs="仿宋"/>
                <w:color w:val="FF0000"/>
                <w:sz w:val="28"/>
                <w:szCs w:val="36"/>
              </w:rPr>
              <w:t>7月中下旬</w:t>
            </w:r>
          </w:p>
        </w:tc>
        <w:tc>
          <w:tcPr>
            <w:tcW w:w="7081" w:type="dxa"/>
            <w:vAlign w:val="center"/>
          </w:tcPr>
          <w:p w14:paraId="2AF70EA8">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1.整理清查项目资料装订成册，电子档发学校留存，出具项目验收报告；</w:t>
            </w:r>
          </w:p>
          <w:p w14:paraId="62FA00C5">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2.协助学校修订学校国有资产管理制度，对清查过程中发现的问题，在认真分析的基础上，提出相应建议与整改措施；</w:t>
            </w:r>
          </w:p>
          <w:p w14:paraId="2BFC792F">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3.协助学校培训各部门资产管理员，主要是江苏省属高校国有资产管理信息系统中资产增加、变动、处置的操作、条码打印及管理等常见问题。</w:t>
            </w:r>
          </w:p>
        </w:tc>
      </w:tr>
    </w:tbl>
    <w:p w14:paraId="40BE4A7E">
      <w:pPr>
        <w:spacing w:line="440" w:lineRule="exact"/>
        <w:outlineLvl w:val="1"/>
        <w:rPr>
          <w:rFonts w:hint="eastAsia" w:ascii="仿宋" w:hAnsi="仿宋" w:eastAsia="仿宋" w:cs="仿宋"/>
          <w:b/>
          <w:bCs/>
          <w:sz w:val="28"/>
          <w:szCs w:val="28"/>
        </w:rPr>
      </w:pPr>
      <w:r>
        <w:rPr>
          <w:rFonts w:hint="eastAsia" w:ascii="仿宋" w:hAnsi="仿宋" w:eastAsia="仿宋" w:cs="仿宋"/>
          <w:b/>
          <w:bCs/>
          <w:sz w:val="28"/>
          <w:szCs w:val="28"/>
        </w:rPr>
        <w:t>（四）其他要求：</w:t>
      </w:r>
      <w:r>
        <w:rPr>
          <w:rFonts w:ascii="仿宋" w:hAnsi="仿宋" w:eastAsia="仿宋" w:cs="仿宋"/>
          <w:b/>
          <w:bCs/>
          <w:sz w:val="28"/>
          <w:szCs w:val="28"/>
        </w:rPr>
        <w:t xml:space="preserve"> </w:t>
      </w:r>
    </w:p>
    <w:p w14:paraId="773833D1">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1.人员配置要求：</w:t>
      </w:r>
    </w:p>
    <w:p w14:paraId="4D852327">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（1）为保障项目高质量、高效率的完成，中标方应提供资产清查经验丰富的驻场清查团队和二线支持团队开展清查工作，按时保质完成清查任务及数据录入、调整等全部工作。</w:t>
      </w:r>
    </w:p>
    <w:p w14:paraId="3B802C19">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中标方项目团队需要有行政事业单位或高校资产清查经验以及出报告经验， 并主要为实物盘点及数据治理经验。</w:t>
      </w:r>
    </w:p>
    <w:p w14:paraId="5BA38E39">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（2）项目团队人员应熟悉资产云系统及江苏省属高校国有资产管理信息系统并能够熟练操作系统，熟悉行政事业单位或高校的各项财务、资产管理规章制度，能协助建立健全资产管理体系、资产全流程管理等。</w:t>
      </w:r>
    </w:p>
    <w:p w14:paraId="7E7BFDE5">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（3）需至少配备 15 名以上项目团队，项目负责人须具有注册会计师证书，且具备会计（或审计）专业中级及以上职称（从事过资产清查工作），需提供证书复印件并加盖公章。资产清查工作期间10人以上服务团队应在甲方指定地点开展资产实地盘点、账目梳理、信息统计更新、数据修改等工作。</w:t>
      </w:r>
    </w:p>
    <w:p w14:paraId="5FDA22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leftChars="0" w:right="0" w:rightChars="0" w:firstLine="560" w:firstLineChars="200"/>
        <w:textAlignment w:val="auto"/>
        <w:rPr>
          <w:rFonts w:hint="eastAsia" w:ascii="仿宋_GB2312" w:hAnsi="微软雅黑" w:eastAsia="仿宋_GB2312" w:cs="仿宋_GB2312"/>
          <w:color w:val="C00000"/>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（4）</w:t>
      </w:r>
      <w:r>
        <w:rPr>
          <w:rFonts w:hint="eastAsia" w:ascii="仿宋_GB2312" w:hAnsi="微软雅黑" w:eastAsia="仿宋_GB2312" w:cs="仿宋_GB2312"/>
          <w:color w:val="C00000"/>
          <w:sz w:val="28"/>
          <w:szCs w:val="28"/>
          <w:shd w:val="clear" w:color="auto" w:fill="FFFFFF"/>
          <w:lang w:val="en-US" w:eastAsia="zh-CN"/>
        </w:rPr>
        <w:t>项目负责人、项目组成员及授权委托代理人为投标人本单位正式职工，投标时提供从2024年9月开始至投标截止之日当月至少</w:t>
      </w:r>
      <w:r>
        <w:rPr>
          <w:rFonts w:hint="default" w:ascii="仿宋_GB2312" w:hAnsi="微软雅黑" w:eastAsia="仿宋_GB2312" w:cs="仿宋_GB2312"/>
          <w:color w:val="C00000"/>
          <w:sz w:val="28"/>
          <w:szCs w:val="28"/>
          <w:shd w:val="clear" w:color="auto" w:fill="FFFFFF"/>
          <w:lang w:val="en-US" w:eastAsia="zh-CN"/>
        </w:rPr>
        <w:t>1</w:t>
      </w:r>
      <w:r>
        <w:rPr>
          <w:rFonts w:hint="eastAsia" w:ascii="仿宋_GB2312" w:hAnsi="微软雅黑" w:eastAsia="仿宋_GB2312" w:cs="仿宋_GB2312"/>
          <w:color w:val="C00000"/>
          <w:sz w:val="28"/>
          <w:szCs w:val="28"/>
          <w:shd w:val="clear" w:color="auto" w:fill="FFFFFF"/>
          <w:lang w:val="en-US" w:eastAsia="zh-CN"/>
        </w:rPr>
        <w:t>个月在本单位缴纳养老保险缴费记录证明。（退休人员提供在本单位工作关系的相关证明）</w:t>
      </w:r>
    </w:p>
    <w:p w14:paraId="35632790">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（5）驻场人员应具有丰富的清查工作经验，并提供相应的佐证材料。</w:t>
      </w:r>
    </w:p>
    <w:p w14:paraId="275C7EDB">
      <w:pPr>
        <w:pStyle w:val="12"/>
        <w:widowControl/>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color w:val="000000"/>
          <w:sz w:val="28"/>
          <w:szCs w:val="28"/>
          <w:shd w:val="clear" w:color="auto" w:fill="FFFFFF"/>
        </w:rPr>
      </w:pPr>
      <w:r>
        <w:rPr>
          <w:rFonts w:ascii="仿宋_GB2312" w:hAnsi="微软雅黑" w:eastAsia="仿宋_GB2312" w:cs="仿宋_GB2312"/>
          <w:color w:val="000000"/>
          <w:sz w:val="28"/>
          <w:szCs w:val="28"/>
          <w:shd w:val="clear" w:color="auto" w:fill="FFFFFF"/>
          <w:lang w:bidi="ar"/>
        </w:rPr>
        <w:t>2.</w:t>
      </w:r>
      <w:r>
        <w:rPr>
          <w:rFonts w:hint="eastAsia" w:ascii="仿宋_GB2312" w:hAnsi="微软雅黑" w:eastAsia="仿宋_GB2312" w:cs="仿宋_GB2312"/>
          <w:color w:val="000000"/>
          <w:sz w:val="28"/>
          <w:szCs w:val="28"/>
          <w:shd w:val="clear" w:color="auto" w:fill="FFFFFF"/>
        </w:rPr>
        <w:t>完成期限：2025年</w:t>
      </w:r>
      <w:r>
        <w:rPr>
          <w:rFonts w:hint="eastAsia" w:ascii="仿宋_GB2312" w:hAnsi="微软雅黑" w:eastAsia="仿宋_GB2312" w:cs="仿宋_GB2312"/>
          <w:color w:val="C00000"/>
          <w:sz w:val="28"/>
          <w:szCs w:val="28"/>
          <w:shd w:val="clear" w:color="auto" w:fill="FFFFFF"/>
          <w:lang w:val="en-US" w:eastAsia="zh-CN"/>
        </w:rPr>
        <w:t>4</w:t>
      </w:r>
      <w:r>
        <w:rPr>
          <w:rFonts w:hint="eastAsia" w:ascii="仿宋_GB2312" w:hAnsi="微软雅黑" w:eastAsia="仿宋_GB2312" w:cs="仿宋_GB2312"/>
          <w:color w:val="C00000"/>
          <w:sz w:val="28"/>
          <w:szCs w:val="28"/>
          <w:shd w:val="clear" w:color="auto" w:fill="FFFFFF"/>
        </w:rPr>
        <w:t>月</w:t>
      </w:r>
      <w:r>
        <w:rPr>
          <w:rFonts w:hint="eastAsia" w:ascii="仿宋_GB2312" w:hAnsi="微软雅黑" w:eastAsia="仿宋_GB2312" w:cs="仿宋_GB2312"/>
          <w:color w:val="C00000"/>
          <w:sz w:val="28"/>
          <w:szCs w:val="28"/>
          <w:shd w:val="clear" w:color="auto" w:fill="FFFFFF"/>
          <w:lang w:val="en-US" w:eastAsia="zh-CN"/>
        </w:rPr>
        <w:t>底</w:t>
      </w:r>
      <w:r>
        <w:rPr>
          <w:rFonts w:hint="eastAsia" w:ascii="仿宋_GB2312" w:hAnsi="微软雅黑" w:eastAsia="仿宋_GB2312" w:cs="仿宋_GB2312"/>
          <w:color w:val="000000"/>
          <w:sz w:val="28"/>
          <w:szCs w:val="28"/>
          <w:shd w:val="clear" w:color="auto" w:fill="FFFFFF"/>
        </w:rPr>
        <w:t>之前完成阶段1-4</w:t>
      </w:r>
    </w:p>
    <w:p w14:paraId="285C9C7B">
      <w:pPr>
        <w:pStyle w:val="12"/>
        <w:widowControl/>
        <w:shd w:val="clear" w:color="auto" w:fill="FFFFFF"/>
        <w:spacing w:beforeAutospacing="0" w:afterAutospacing="0" w:line="440" w:lineRule="exact"/>
        <w:ind w:firstLine="2240" w:firstLineChars="800"/>
        <w:textAlignment w:val="baseline"/>
        <w:rPr>
          <w:rFonts w:hint="eastAsia" w:ascii="仿宋_GB2312" w:hAnsi="微软雅黑" w:eastAsia="仿宋_GB2312" w:cs="仿宋_GB2312"/>
          <w:color w:val="000000"/>
          <w:sz w:val="28"/>
          <w:szCs w:val="28"/>
          <w:shd w:val="clear" w:color="auto" w:fill="FFFFFF"/>
        </w:rPr>
      </w:pPr>
      <w:r>
        <w:rPr>
          <w:rFonts w:hint="eastAsia" w:ascii="仿宋_GB2312" w:hAnsi="微软雅黑" w:eastAsia="仿宋_GB2312" w:cs="仿宋_GB2312"/>
          <w:color w:val="000000"/>
          <w:sz w:val="28"/>
          <w:szCs w:val="28"/>
          <w:shd w:val="clear" w:color="auto" w:fill="FFFFFF"/>
        </w:rPr>
        <w:t>2025年</w:t>
      </w:r>
      <w:r>
        <w:rPr>
          <w:rFonts w:hint="eastAsia" w:ascii="仿宋_GB2312" w:hAnsi="微软雅黑" w:eastAsia="仿宋_GB2312" w:cs="仿宋_GB2312"/>
          <w:color w:val="FF0000"/>
          <w:sz w:val="28"/>
          <w:szCs w:val="28"/>
          <w:shd w:val="clear" w:color="auto" w:fill="FFFFFF"/>
          <w:lang w:val="en-US" w:eastAsia="zh-CN"/>
        </w:rPr>
        <w:t>7</w:t>
      </w:r>
      <w:r>
        <w:rPr>
          <w:rFonts w:hint="eastAsia" w:ascii="仿宋_GB2312" w:hAnsi="微软雅黑" w:eastAsia="仿宋_GB2312" w:cs="仿宋_GB2312"/>
          <w:color w:val="FF0000"/>
          <w:sz w:val="28"/>
          <w:szCs w:val="28"/>
          <w:shd w:val="clear" w:color="auto" w:fill="FFFFFF"/>
        </w:rPr>
        <w:t>月</w:t>
      </w:r>
      <w:r>
        <w:rPr>
          <w:rFonts w:hint="eastAsia" w:ascii="仿宋_GB2312" w:hAnsi="微软雅黑" w:eastAsia="仿宋_GB2312" w:cs="仿宋_GB2312"/>
          <w:color w:val="FF0000"/>
          <w:sz w:val="28"/>
          <w:szCs w:val="28"/>
          <w:shd w:val="clear" w:color="auto" w:fill="FFFFFF"/>
          <w:lang w:val="en-US" w:eastAsia="zh-CN"/>
        </w:rPr>
        <w:t>底</w:t>
      </w:r>
      <w:r>
        <w:rPr>
          <w:rFonts w:hint="eastAsia" w:ascii="仿宋_GB2312" w:hAnsi="微软雅黑" w:eastAsia="仿宋_GB2312" w:cs="仿宋_GB2312"/>
          <w:color w:val="000000"/>
          <w:sz w:val="28"/>
          <w:szCs w:val="28"/>
          <w:shd w:val="clear" w:color="auto" w:fill="FFFFFF"/>
        </w:rPr>
        <w:t>之前完成阶段5-9</w:t>
      </w:r>
    </w:p>
    <w:p w14:paraId="06123529">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rPr>
      </w:pPr>
      <w:r>
        <w:rPr>
          <w:rFonts w:hint="eastAsia" w:ascii="仿宋_GB2312" w:hAnsi="微软雅黑" w:eastAsia="仿宋_GB2312" w:cs="仿宋_GB2312"/>
          <w:sz w:val="28"/>
          <w:szCs w:val="28"/>
          <w:shd w:val="clear" w:color="auto" w:fill="FFFFFF"/>
        </w:rPr>
        <w:t>未按工期要求完成的，每逾期一天扣除人民币500元整。</w:t>
      </w:r>
    </w:p>
    <w:p w14:paraId="11307D2F">
      <w:pPr>
        <w:pStyle w:val="12"/>
        <w:widowControl/>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color w:val="000000"/>
          <w:sz w:val="28"/>
          <w:szCs w:val="28"/>
          <w:shd w:val="clear" w:color="auto" w:fill="FFFFFF"/>
        </w:rPr>
      </w:pPr>
      <w:r>
        <w:rPr>
          <w:rFonts w:hint="eastAsia" w:ascii="仿宋_GB2312" w:hAnsi="微软雅黑" w:eastAsia="仿宋_GB2312" w:cs="仿宋_GB2312"/>
          <w:color w:val="000000"/>
          <w:sz w:val="28"/>
          <w:szCs w:val="28"/>
          <w:shd w:val="clear" w:color="auto" w:fill="FFFFFF"/>
        </w:rPr>
        <w:t>3.中标后签订合同时，</w:t>
      </w:r>
      <w:r>
        <w:rPr>
          <w:rFonts w:hint="eastAsia" w:ascii="仿宋_GB2312" w:hAnsi="微软雅黑" w:eastAsia="仿宋_GB2312" w:cs="仿宋_GB2312"/>
          <w:color w:val="000000"/>
          <w:sz w:val="28"/>
          <w:szCs w:val="28"/>
          <w:shd w:val="clear" w:color="auto" w:fill="FFFFFF"/>
          <w:lang w:val="en-US" w:eastAsia="zh-CN"/>
        </w:rPr>
        <w:t>中标方</w:t>
      </w:r>
      <w:r>
        <w:rPr>
          <w:rFonts w:hint="eastAsia" w:ascii="仿宋_GB2312" w:hAnsi="微软雅黑" w:eastAsia="仿宋_GB2312" w:cs="仿宋_GB2312"/>
          <w:color w:val="000000"/>
          <w:sz w:val="28"/>
          <w:szCs w:val="28"/>
          <w:shd w:val="clear" w:color="auto" w:fill="FFFFFF"/>
        </w:rPr>
        <w:t>须与采购人签订保密协议。</w:t>
      </w:r>
    </w:p>
    <w:p w14:paraId="4DCF3DB2">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rPr>
      </w:pPr>
      <w:r>
        <w:rPr>
          <w:rFonts w:hint="eastAsia" w:ascii="仿宋_GB2312" w:hAnsi="微软雅黑" w:eastAsia="仿宋_GB2312" w:cs="仿宋_GB2312"/>
          <w:sz w:val="28"/>
          <w:szCs w:val="28"/>
          <w:shd w:val="clear" w:color="auto" w:fill="FFFFFF"/>
          <w:lang w:val="en-US" w:eastAsia="zh-CN"/>
        </w:rPr>
        <w:t>4.</w:t>
      </w:r>
      <w:r>
        <w:rPr>
          <w:rFonts w:hint="eastAsia" w:ascii="仿宋_GB2312" w:hAnsi="微软雅黑" w:eastAsia="仿宋_GB2312" w:cs="仿宋_GB2312"/>
          <w:sz w:val="28"/>
          <w:szCs w:val="28"/>
          <w:shd w:val="clear" w:color="auto" w:fill="FFFFFF"/>
        </w:rPr>
        <w:t>竣工交付</w:t>
      </w:r>
      <w:r>
        <w:rPr>
          <w:rFonts w:hint="eastAsia" w:ascii="仿宋_GB2312" w:hAnsi="微软雅黑" w:eastAsia="仿宋_GB2312" w:cs="仿宋_GB2312"/>
          <w:sz w:val="28"/>
          <w:szCs w:val="28"/>
          <w:shd w:val="clear" w:color="auto" w:fill="FFFFFF"/>
          <w:lang w:eastAsia="zh-CN"/>
        </w:rPr>
        <w:t>：</w:t>
      </w:r>
      <w:r>
        <w:rPr>
          <w:rFonts w:hint="eastAsia" w:ascii="仿宋_GB2312" w:hAnsi="微软雅黑" w:eastAsia="仿宋_GB2312" w:cs="仿宋_GB2312"/>
          <w:sz w:val="28"/>
          <w:szCs w:val="28"/>
          <w:shd w:val="clear" w:color="auto" w:fill="FFFFFF"/>
        </w:rPr>
        <w:t>所有工作完成后中标方应提交竣工报告，并组织竣工报告会详细汇报工作过程和工作成果，交付清查工作档案材料。</w:t>
      </w:r>
    </w:p>
    <w:p w14:paraId="71929C7C">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color w:val="FF0000"/>
          <w:sz w:val="28"/>
          <w:szCs w:val="28"/>
          <w:shd w:val="clear" w:color="auto" w:fill="FFFFFF"/>
        </w:rPr>
      </w:pPr>
      <w:r>
        <w:rPr>
          <w:rFonts w:hint="eastAsia" w:ascii="仿宋_GB2312" w:hAnsi="微软雅黑" w:eastAsia="仿宋_GB2312" w:cs="仿宋_GB2312"/>
          <w:sz w:val="28"/>
          <w:szCs w:val="28"/>
          <w:shd w:val="clear" w:color="auto" w:fill="FFFFFF"/>
          <w:lang w:val="en-US" w:eastAsia="zh-CN"/>
        </w:rPr>
        <w:t>5.</w:t>
      </w:r>
      <w:r>
        <w:rPr>
          <w:rFonts w:hint="eastAsia" w:ascii="仿宋_GB2312" w:hAnsi="微软雅黑" w:eastAsia="仿宋_GB2312" w:cs="仿宋_GB2312"/>
          <w:sz w:val="28"/>
          <w:szCs w:val="28"/>
          <w:shd w:val="clear" w:color="auto" w:fill="FFFFFF"/>
        </w:rPr>
        <w:t>项目验收</w:t>
      </w:r>
      <w:r>
        <w:rPr>
          <w:rFonts w:hint="eastAsia" w:ascii="仿宋_GB2312" w:hAnsi="微软雅黑" w:eastAsia="仿宋_GB2312" w:cs="仿宋_GB2312"/>
          <w:sz w:val="28"/>
          <w:szCs w:val="28"/>
          <w:shd w:val="clear" w:color="auto" w:fill="FFFFFF"/>
          <w:lang w:eastAsia="zh-CN"/>
        </w:rPr>
        <w:t>：</w:t>
      </w:r>
      <w:r>
        <w:rPr>
          <w:rFonts w:hint="eastAsia" w:ascii="仿宋_GB2312" w:hAnsi="微软雅黑" w:eastAsia="仿宋_GB2312" w:cs="仿宋_GB2312"/>
          <w:sz w:val="28"/>
          <w:szCs w:val="28"/>
          <w:shd w:val="clear" w:color="auto" w:fill="FFFFFF"/>
        </w:rPr>
        <w:t>项目竣工后，采购人7日内组织项目验收，验收通过后签署验收单。</w:t>
      </w:r>
      <w:r>
        <w:rPr>
          <w:rFonts w:hint="eastAsia" w:ascii="仿宋_GB2312" w:hAnsi="微软雅黑" w:eastAsia="仿宋_GB2312" w:cs="仿宋_GB2312"/>
          <w:color w:val="000000"/>
          <w:sz w:val="28"/>
          <w:szCs w:val="28"/>
          <w:shd w:val="clear" w:color="auto" w:fill="FFFFFF"/>
        </w:rPr>
        <w:t>项目验收合格后，清查免费服务期为2年，期间发现资产清查存在任何问题，</w:t>
      </w:r>
      <w:r>
        <w:rPr>
          <w:rFonts w:hint="eastAsia" w:ascii="仿宋_GB2312" w:hAnsi="微软雅黑" w:eastAsia="仿宋_GB2312" w:cs="仿宋_GB2312"/>
          <w:color w:val="000000"/>
          <w:sz w:val="28"/>
          <w:szCs w:val="28"/>
          <w:shd w:val="clear" w:color="auto" w:fill="FFFFFF"/>
          <w:lang w:val="en-US" w:eastAsia="zh-CN"/>
        </w:rPr>
        <w:t>中标方</w:t>
      </w:r>
      <w:r>
        <w:rPr>
          <w:rFonts w:hint="eastAsia" w:ascii="仿宋_GB2312" w:hAnsi="微软雅黑" w:eastAsia="仿宋_GB2312" w:cs="仿宋_GB2312"/>
          <w:color w:val="000000"/>
          <w:sz w:val="28"/>
          <w:szCs w:val="28"/>
          <w:shd w:val="clear" w:color="auto" w:fill="FFFFFF"/>
        </w:rPr>
        <w:t>必须协助单位进行解决。</w:t>
      </w:r>
    </w:p>
    <w:p w14:paraId="7857C11A">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rPr>
      </w:pPr>
      <w:r>
        <w:rPr>
          <w:rFonts w:hint="eastAsia" w:ascii="仿宋" w:hAnsi="仿宋" w:eastAsia="仿宋" w:cs="仿宋"/>
          <w:b/>
          <w:bCs/>
          <w:sz w:val="28"/>
          <w:szCs w:val="28"/>
        </w:rPr>
        <w:t>三、</w:t>
      </w:r>
      <w:r>
        <w:rPr>
          <w:rFonts w:ascii="仿宋" w:hAnsi="仿宋" w:eastAsia="仿宋" w:cs="仿宋"/>
          <w:b/>
          <w:bCs/>
          <w:sz w:val="28"/>
          <w:szCs w:val="28"/>
        </w:rPr>
        <w:t>投标人资格要求</w:t>
      </w:r>
    </w:p>
    <w:p w14:paraId="748CB63D">
      <w:pPr>
        <w:pStyle w:val="12"/>
        <w:widowControl/>
        <w:shd w:val="clear" w:color="auto" w:fill="FFFFFF"/>
        <w:spacing w:beforeAutospacing="0" w:afterAutospacing="0" w:line="440" w:lineRule="exact"/>
        <w:ind w:firstLine="645"/>
        <w:textAlignment w:val="baseline"/>
        <w:rPr>
          <w:rFonts w:hint="eastAsia" w:ascii="微软雅黑" w:hAnsi="微软雅黑" w:eastAsia="微软雅黑" w:cs="微软雅黑"/>
          <w:color w:val="000000"/>
          <w:sz w:val="28"/>
          <w:szCs w:val="28"/>
        </w:rPr>
      </w:pPr>
      <w:r>
        <w:rPr>
          <w:rFonts w:ascii="仿宋_GB2312" w:hAnsi="微软雅黑" w:eastAsia="仿宋_GB2312" w:cs="仿宋_GB2312"/>
          <w:color w:val="000000"/>
          <w:sz w:val="28"/>
          <w:szCs w:val="28"/>
          <w:shd w:val="clear" w:color="auto" w:fill="FFFFFF"/>
        </w:rPr>
        <w:t>1.应在中华人民共和国境内注册的、独立于采购人，具有独立承担民事责任能力的法人或其他组织，提供营业执照或登记证书复印件加盖公章。</w:t>
      </w:r>
    </w:p>
    <w:p w14:paraId="7CC6EE76">
      <w:pPr>
        <w:spacing w:line="440" w:lineRule="exact"/>
        <w:ind w:firstLine="560" w:firstLineChars="200"/>
        <w:rPr>
          <w:rFonts w:hint="eastAsia" w:ascii="仿宋_GB2312" w:hAnsi="微软雅黑" w:eastAsia="仿宋_GB2312" w:cs="仿宋_GB2312"/>
          <w:b/>
          <w:bCs/>
          <w:kern w:val="0"/>
          <w:sz w:val="28"/>
          <w:szCs w:val="28"/>
          <w:shd w:val="clear" w:color="auto" w:fill="FFFFFF"/>
        </w:rPr>
      </w:pPr>
      <w:r>
        <w:rPr>
          <w:rFonts w:ascii="仿宋_GB2312" w:hAnsi="微软雅黑" w:eastAsia="仿宋_GB2312" w:cs="仿宋_GB2312"/>
          <w:sz w:val="28"/>
          <w:szCs w:val="28"/>
          <w:shd w:val="clear" w:color="auto" w:fill="FFFFFF"/>
        </w:rPr>
        <w:t>2.</w:t>
      </w:r>
      <w:r>
        <w:rPr>
          <w:rFonts w:hint="eastAsia" w:ascii="仿宋_GB2312" w:hAnsi="微软雅黑" w:eastAsia="仿宋_GB2312" w:cs="仿宋_GB2312"/>
          <w:kern w:val="0"/>
          <w:sz w:val="28"/>
          <w:szCs w:val="28"/>
          <w:shd w:val="clear" w:color="auto" w:fill="FFFFFF"/>
        </w:rPr>
        <w:t>本项目的特定资格要求：</w:t>
      </w:r>
      <w:r>
        <w:rPr>
          <w:rFonts w:hint="eastAsia" w:ascii="仿宋_GB2312" w:hAnsi="微软雅黑" w:eastAsia="仿宋_GB2312" w:cs="仿宋_GB2312"/>
          <w:b/>
          <w:bCs/>
          <w:kern w:val="0"/>
          <w:sz w:val="28"/>
          <w:szCs w:val="28"/>
          <w:shd w:val="clear" w:color="auto" w:fill="FFFFFF"/>
        </w:rPr>
        <w:t>具有财政部门颁发的合法有效的《会计师事务所执业证书》或《会计师事务所分所执业证书》。</w:t>
      </w:r>
    </w:p>
    <w:p w14:paraId="3E1BD601">
      <w:pPr>
        <w:pStyle w:val="12"/>
        <w:widowControl/>
        <w:shd w:val="clear" w:color="auto" w:fill="FFFFFF"/>
        <w:spacing w:beforeAutospacing="0" w:afterAutospacing="0" w:line="440" w:lineRule="exact"/>
        <w:ind w:firstLine="645"/>
        <w:textAlignment w:val="baseline"/>
        <w:rPr>
          <w:rFonts w:hint="eastAsia" w:ascii="微软雅黑" w:hAnsi="微软雅黑" w:eastAsia="仿宋_GB2312" w:cs="微软雅黑"/>
          <w:color w:val="000000"/>
          <w:sz w:val="28"/>
          <w:szCs w:val="28"/>
          <w:lang w:eastAsia="zh-CN"/>
        </w:rPr>
      </w:pPr>
      <w:r>
        <w:rPr>
          <w:rFonts w:ascii="仿宋_GB2312" w:hAnsi="微软雅黑" w:eastAsia="仿宋_GB2312" w:cs="仿宋_GB2312"/>
          <w:color w:val="000000"/>
          <w:sz w:val="28"/>
          <w:szCs w:val="28"/>
          <w:shd w:val="clear" w:color="auto" w:fill="FFFFFF"/>
        </w:rPr>
        <w:t>3.</w:t>
      </w:r>
      <w:r>
        <w:rPr>
          <w:rFonts w:hint="eastAsia" w:ascii="仿宋_GB2312" w:hAnsi="微软雅黑" w:eastAsia="仿宋_GB2312" w:cs="仿宋_GB2312"/>
          <w:color w:val="000000"/>
          <w:sz w:val="28"/>
          <w:szCs w:val="28"/>
          <w:shd w:val="clear" w:color="auto" w:fill="FFFFFF"/>
        </w:rPr>
        <w:t>上一年度的财务状况报表（成立不满一年无需提供）</w:t>
      </w:r>
      <w:r>
        <w:rPr>
          <w:rFonts w:hint="eastAsia" w:ascii="仿宋_GB2312" w:hAnsi="微软雅黑" w:eastAsia="仿宋_GB2312" w:cs="仿宋_GB2312"/>
          <w:color w:val="000000"/>
          <w:sz w:val="28"/>
          <w:szCs w:val="28"/>
          <w:shd w:val="clear" w:color="auto" w:fill="FFFFFF"/>
          <w:lang w:eastAsia="zh-CN"/>
        </w:rPr>
        <w:t>。</w:t>
      </w:r>
    </w:p>
    <w:p w14:paraId="5D0BCFAA">
      <w:pPr>
        <w:pStyle w:val="12"/>
        <w:widowControl/>
        <w:shd w:val="clear" w:color="auto" w:fill="FFFFFF"/>
        <w:spacing w:beforeAutospacing="0" w:afterAutospacing="0" w:line="440" w:lineRule="exact"/>
        <w:ind w:firstLine="645"/>
        <w:textAlignment w:val="baseline"/>
        <w:rPr>
          <w:rFonts w:hint="eastAsia" w:ascii="仿宋_GB2312" w:hAnsi="微软雅黑" w:eastAsia="仿宋_GB2312" w:cs="仿宋_GB2312"/>
          <w:color w:val="000000"/>
          <w:sz w:val="28"/>
          <w:szCs w:val="28"/>
          <w:shd w:val="clear" w:color="auto" w:fill="FFFFFF"/>
        </w:rPr>
      </w:pPr>
      <w:r>
        <w:rPr>
          <w:rFonts w:ascii="仿宋_GB2312" w:hAnsi="微软雅黑" w:eastAsia="仿宋_GB2312" w:cs="仿宋_GB2312"/>
          <w:color w:val="000000"/>
          <w:sz w:val="28"/>
          <w:szCs w:val="28"/>
          <w:shd w:val="clear" w:color="auto" w:fill="FFFFFF"/>
        </w:rPr>
        <w:t>4.</w:t>
      </w:r>
      <w:r>
        <w:rPr>
          <w:rFonts w:hint="eastAsia" w:ascii="仿宋_GB2312" w:hAnsi="微软雅黑" w:eastAsia="仿宋_GB2312" w:cs="仿宋_GB2312"/>
          <w:color w:val="000000"/>
          <w:sz w:val="28"/>
          <w:szCs w:val="28"/>
          <w:shd w:val="clear" w:color="auto" w:fill="FFFFFF"/>
        </w:rPr>
        <w:t>依法缴纳税收和社会保障资金的相关材料（提供提交响应文件截止时间前一年内至少一个月依法缴纳税收及缴纳社会保障资金的证明材料。供应商依法享受缓缴、免缴税收、社会保障资金的提供证明材料。）；</w:t>
      </w:r>
    </w:p>
    <w:p w14:paraId="19ADF719">
      <w:pPr>
        <w:pStyle w:val="12"/>
        <w:widowControl/>
        <w:shd w:val="clear" w:color="auto" w:fill="FFFFFF"/>
        <w:spacing w:beforeAutospacing="0" w:afterAutospacing="0" w:line="440" w:lineRule="exact"/>
        <w:ind w:firstLine="645"/>
        <w:textAlignment w:val="baseline"/>
        <w:rPr>
          <w:rFonts w:hint="eastAsia" w:ascii="微软雅黑" w:hAnsi="微软雅黑" w:eastAsia="微软雅黑" w:cs="微软雅黑"/>
          <w:color w:val="000000"/>
          <w:sz w:val="28"/>
          <w:szCs w:val="28"/>
        </w:rPr>
      </w:pPr>
      <w:r>
        <w:rPr>
          <w:rFonts w:ascii="仿宋_GB2312" w:hAnsi="微软雅黑" w:eastAsia="仿宋_GB2312" w:cs="仿宋_GB2312"/>
          <w:color w:val="000000"/>
          <w:sz w:val="28"/>
          <w:szCs w:val="28"/>
          <w:shd w:val="clear" w:color="auto" w:fill="FFFFFF"/>
        </w:rPr>
        <w:t>5.参加政府采购活动前三年内，在经营活动中没有重大违法记录（提供书面声明，格式自拟）。</w:t>
      </w:r>
    </w:p>
    <w:p w14:paraId="5C46BDF8">
      <w:pPr>
        <w:pStyle w:val="12"/>
        <w:widowControl/>
        <w:shd w:val="clear" w:color="auto" w:fill="FFFFFF"/>
        <w:spacing w:beforeAutospacing="0" w:afterAutospacing="0" w:line="440" w:lineRule="exact"/>
        <w:ind w:firstLine="645"/>
        <w:textAlignment w:val="baseline"/>
        <w:rPr>
          <w:rFonts w:hint="eastAsia" w:ascii="微软雅黑" w:hAnsi="微软雅黑" w:eastAsia="微软雅黑" w:cs="微软雅黑"/>
          <w:color w:val="000000"/>
          <w:sz w:val="28"/>
          <w:szCs w:val="28"/>
        </w:rPr>
      </w:pPr>
      <w:r>
        <w:rPr>
          <w:rFonts w:ascii="仿宋_GB2312" w:hAnsi="微软雅黑" w:eastAsia="仿宋_GB2312" w:cs="仿宋_GB2312"/>
          <w:color w:val="000000"/>
          <w:sz w:val="28"/>
          <w:szCs w:val="28"/>
          <w:shd w:val="clear" w:color="auto" w:fill="FFFFFF"/>
        </w:rPr>
        <w:t>6.未被列入</w:t>
      </w:r>
      <w:r>
        <w:rPr>
          <w:rFonts w:hint="eastAsia" w:ascii="仿宋_GB2312" w:hAnsi="微软雅黑" w:eastAsia="仿宋_GB2312" w:cs="仿宋_GB2312"/>
          <w:color w:val="000000"/>
          <w:sz w:val="28"/>
          <w:szCs w:val="28"/>
          <w:shd w:val="clear" w:color="auto" w:fill="FFFFFF"/>
          <w:lang w:eastAsia="zh-CN"/>
        </w:rPr>
        <w:t>“</w:t>
      </w:r>
      <w:r>
        <w:rPr>
          <w:rFonts w:ascii="仿宋_GB2312" w:hAnsi="微软雅黑" w:eastAsia="仿宋_GB2312" w:cs="仿宋_GB2312"/>
          <w:color w:val="000000"/>
          <w:sz w:val="28"/>
          <w:szCs w:val="28"/>
          <w:shd w:val="clear" w:color="auto" w:fill="FFFFFF"/>
        </w:rPr>
        <w:t>信用中国</w:t>
      </w:r>
      <w:r>
        <w:rPr>
          <w:rFonts w:hint="eastAsia" w:ascii="仿宋_GB2312" w:hAnsi="微软雅黑" w:eastAsia="仿宋_GB2312" w:cs="仿宋_GB2312"/>
          <w:color w:val="000000"/>
          <w:sz w:val="28"/>
          <w:szCs w:val="28"/>
          <w:shd w:val="clear" w:color="auto" w:fill="FFFFFF"/>
          <w:lang w:eastAsia="zh-CN"/>
        </w:rPr>
        <w:t>”</w:t>
      </w:r>
      <w:r>
        <w:rPr>
          <w:rFonts w:ascii="仿宋_GB2312" w:hAnsi="微软雅黑" w:eastAsia="仿宋_GB2312" w:cs="仿宋_GB2312"/>
          <w:color w:val="000000"/>
          <w:sz w:val="28"/>
          <w:szCs w:val="28"/>
          <w:shd w:val="clear" w:color="auto" w:fill="FFFFFF"/>
        </w:rPr>
        <w:t>网站(www.creditchina.gov.cn)以下任意名单之一：①记录失信被执行人；②重大税收违法案件当事人名单；③政府采购严重违法失信行为。同时，不处于中国政府采购网(www.ccgp.gov.cn)“政府采购严重违法失信行为信息记录”中的禁止参加政府采购活动期间（如不符合的，不应参与本次采购活动，否则在查核后将被拒绝参与采购活动）</w:t>
      </w:r>
      <w:r>
        <w:rPr>
          <w:rFonts w:hint="eastAsia" w:ascii="仿宋_GB2312" w:hAnsi="微软雅黑" w:eastAsia="仿宋_GB2312" w:cs="仿宋_GB2312"/>
          <w:color w:val="000000"/>
          <w:sz w:val="28"/>
          <w:szCs w:val="28"/>
          <w:shd w:val="clear" w:color="auto" w:fill="FFFFFF"/>
        </w:rPr>
        <w:t>。</w:t>
      </w:r>
    </w:p>
    <w:p w14:paraId="46BC0D7C">
      <w:pPr>
        <w:pStyle w:val="12"/>
        <w:widowControl/>
        <w:shd w:val="clear" w:color="auto" w:fill="FFFFFF"/>
        <w:spacing w:beforeAutospacing="0" w:afterAutospacing="0" w:line="440" w:lineRule="exact"/>
        <w:ind w:firstLine="645"/>
        <w:textAlignment w:val="baseline"/>
        <w:rPr>
          <w:rFonts w:ascii="仿宋_GB2312" w:hAnsi="微软雅黑" w:eastAsia="仿宋_GB2312" w:cs="仿宋_GB2312"/>
          <w:b/>
          <w:bCs/>
          <w:color w:val="000000"/>
          <w:sz w:val="28"/>
          <w:szCs w:val="28"/>
          <w:shd w:val="clear" w:color="auto" w:fill="FFFFFF"/>
        </w:rPr>
      </w:pPr>
      <w:r>
        <w:rPr>
          <w:rFonts w:ascii="仿宋_GB2312" w:hAnsi="微软雅黑" w:eastAsia="仿宋_GB2312" w:cs="仿宋_GB2312"/>
          <w:b/>
          <w:bCs/>
          <w:color w:val="000000"/>
          <w:sz w:val="28"/>
          <w:szCs w:val="28"/>
          <w:shd w:val="clear" w:color="auto" w:fill="FFFFFF"/>
        </w:rPr>
        <w:t>7.本项目不接受联合体</w:t>
      </w:r>
      <w:r>
        <w:rPr>
          <w:rFonts w:hint="eastAsia" w:ascii="仿宋_GB2312" w:hAnsi="微软雅黑" w:eastAsia="仿宋_GB2312" w:cs="仿宋_GB2312"/>
          <w:b/>
          <w:bCs/>
          <w:color w:val="000000"/>
          <w:sz w:val="28"/>
          <w:szCs w:val="28"/>
          <w:shd w:val="clear" w:color="auto" w:fill="FFFFFF"/>
        </w:rPr>
        <w:t>方式</w:t>
      </w:r>
      <w:r>
        <w:rPr>
          <w:rFonts w:hint="eastAsia" w:ascii="仿宋_GB2312" w:hAnsi="微软雅黑" w:eastAsia="仿宋_GB2312" w:cs="仿宋_GB2312"/>
          <w:b/>
          <w:bCs/>
          <w:sz w:val="28"/>
          <w:szCs w:val="28"/>
          <w:shd w:val="clear" w:color="auto" w:fill="FFFFFF"/>
        </w:rPr>
        <w:t>投标</w:t>
      </w:r>
      <w:r>
        <w:rPr>
          <w:rFonts w:ascii="仿宋_GB2312" w:hAnsi="微软雅黑" w:eastAsia="仿宋_GB2312" w:cs="仿宋_GB2312"/>
          <w:b/>
          <w:bCs/>
          <w:color w:val="000000"/>
          <w:sz w:val="28"/>
          <w:szCs w:val="28"/>
          <w:shd w:val="clear" w:color="auto" w:fill="FFFFFF"/>
        </w:rPr>
        <w:t>。</w:t>
      </w:r>
    </w:p>
    <w:p w14:paraId="4710FCA3">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四、项目预算</w:t>
      </w:r>
    </w:p>
    <w:p w14:paraId="373131C5">
      <w:pPr>
        <w:keepNext w:val="0"/>
        <w:keepLines w:val="0"/>
        <w:pageBreakBefore w:val="0"/>
        <w:widowControl/>
        <w:suppressLineNumbers w:val="0"/>
        <w:kinsoku/>
        <w:wordWrap/>
        <w:overflowPunct/>
        <w:topLinePunct w:val="0"/>
        <w:autoSpaceDE/>
        <w:autoSpaceDN/>
        <w:bidi w:val="0"/>
        <w:adjustRightInd/>
        <w:snapToGrid/>
        <w:ind w:firstLine="562" w:firstLineChars="200"/>
        <w:jc w:val="both"/>
        <w:textAlignment w:val="center"/>
      </w:pPr>
      <w:r>
        <w:rPr>
          <w:rFonts w:hint="eastAsia" w:ascii="仿宋_GB2312" w:eastAsia="仿宋_GB2312" w:cs="仿宋_GB2312"/>
          <w:b/>
          <w:bCs/>
          <w:color w:val="000000"/>
          <w:sz w:val="28"/>
          <w:szCs w:val="28"/>
          <w:u w:val="single"/>
          <w:lang w:val="en-US" w:eastAsia="zh-CN"/>
        </w:rPr>
        <w:t>项目</w:t>
      </w:r>
      <w:r>
        <w:rPr>
          <w:rFonts w:hint="default" w:ascii="仿宋_GB2312" w:eastAsia="仿宋_GB2312" w:cs="仿宋_GB2312"/>
          <w:b/>
          <w:bCs/>
          <w:color w:val="000000"/>
          <w:sz w:val="28"/>
          <w:szCs w:val="28"/>
          <w:u w:val="single"/>
        </w:rPr>
        <w:t>预算</w:t>
      </w:r>
      <w:r>
        <w:rPr>
          <w:rFonts w:hint="eastAsia" w:ascii="仿宋_GB2312" w:eastAsia="仿宋_GB2312" w:cs="仿宋_GB2312"/>
          <w:b/>
          <w:bCs/>
          <w:color w:val="000000"/>
          <w:sz w:val="28"/>
          <w:szCs w:val="28"/>
          <w:u w:val="single"/>
          <w:lang w:eastAsia="zh-CN"/>
        </w:rPr>
        <w:t>为</w:t>
      </w:r>
      <w:r>
        <w:rPr>
          <w:rFonts w:hint="eastAsia" w:ascii="仿宋_GB2312" w:eastAsia="仿宋_GB2312" w:cs="仿宋_GB2312"/>
          <w:b/>
          <w:bCs/>
          <w:color w:val="000000"/>
          <w:sz w:val="28"/>
          <w:szCs w:val="28"/>
          <w:u w:val="single"/>
          <w:lang w:val="en-US" w:eastAsia="zh-CN"/>
        </w:rPr>
        <w:t>30</w:t>
      </w:r>
      <w:r>
        <w:rPr>
          <w:rFonts w:hint="default" w:ascii="仿宋_GB2312" w:eastAsia="仿宋_GB2312" w:cs="仿宋_GB2312"/>
          <w:b/>
          <w:bCs/>
          <w:color w:val="000000"/>
          <w:sz w:val="28"/>
          <w:szCs w:val="28"/>
          <w:u w:val="single"/>
        </w:rPr>
        <w:t>万元；超过预算的报价为无效报价。</w:t>
      </w:r>
    </w:p>
    <w:p w14:paraId="74A5E32B">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w:t>
      </w:r>
      <w:r>
        <w:rPr>
          <w:rFonts w:hint="eastAsia" w:ascii="仿宋" w:hAnsi="仿宋" w:eastAsia="仿宋" w:cs="仿宋"/>
          <w:b/>
          <w:bCs/>
          <w:sz w:val="28"/>
          <w:szCs w:val="28"/>
          <w:lang w:val="en-US" w:eastAsia="zh-CN"/>
        </w:rPr>
        <w:t>招标</w:t>
      </w:r>
      <w:r>
        <w:rPr>
          <w:rFonts w:hint="eastAsia" w:ascii="仿宋" w:hAnsi="仿宋" w:eastAsia="仿宋" w:cs="仿宋"/>
          <w:b/>
          <w:bCs/>
          <w:sz w:val="28"/>
          <w:szCs w:val="28"/>
          <w:lang w:eastAsia="zh-CN"/>
        </w:rPr>
        <w:t>文件</w:t>
      </w:r>
      <w:r>
        <w:rPr>
          <w:rFonts w:hint="eastAsia" w:ascii="仿宋" w:hAnsi="仿宋" w:eastAsia="仿宋" w:cs="仿宋"/>
          <w:b/>
          <w:bCs/>
          <w:sz w:val="28"/>
          <w:szCs w:val="28"/>
          <w:lang w:val="en-US" w:eastAsia="zh-CN"/>
        </w:rPr>
        <w:t>获取</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报价</w:t>
      </w:r>
      <w:r>
        <w:rPr>
          <w:rFonts w:hint="eastAsia" w:ascii="仿宋" w:hAnsi="仿宋" w:eastAsia="仿宋" w:cs="仿宋"/>
          <w:b/>
          <w:bCs/>
          <w:sz w:val="28"/>
          <w:szCs w:val="28"/>
          <w:lang w:eastAsia="zh-CN"/>
        </w:rPr>
        <w:t>文件递交截止时间、</w:t>
      </w:r>
      <w:r>
        <w:rPr>
          <w:rFonts w:hint="eastAsia" w:ascii="仿宋" w:hAnsi="仿宋" w:eastAsia="仿宋" w:cs="仿宋"/>
          <w:b/>
          <w:bCs/>
          <w:sz w:val="28"/>
          <w:szCs w:val="28"/>
          <w:lang w:val="en-US" w:eastAsia="zh-CN"/>
        </w:rPr>
        <w:t>开标</w:t>
      </w:r>
      <w:r>
        <w:rPr>
          <w:rFonts w:hint="eastAsia" w:ascii="仿宋" w:hAnsi="仿宋" w:eastAsia="仿宋" w:cs="仿宋"/>
          <w:b/>
          <w:bCs/>
          <w:sz w:val="28"/>
          <w:szCs w:val="28"/>
          <w:lang w:eastAsia="zh-CN"/>
        </w:rPr>
        <w:t>时间及地点</w:t>
      </w:r>
    </w:p>
    <w:p w14:paraId="12B97A77">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b/>
          <w:bCs/>
          <w:color w:val="000000"/>
          <w:sz w:val="28"/>
          <w:szCs w:val="28"/>
          <w:highlight w:val="yellow"/>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highlight w:val="yellow"/>
          <w:u w:val="single"/>
        </w:rPr>
        <w:t>20</w:t>
      </w:r>
      <w:r>
        <w:rPr>
          <w:rFonts w:hint="eastAsia" w:ascii="仿宋_GB2312" w:hAnsi="仿宋_GB2312" w:eastAsia="仿宋_GB2312" w:cs="仿宋_GB2312"/>
          <w:b/>
          <w:bCs/>
          <w:color w:val="000000"/>
          <w:sz w:val="28"/>
          <w:szCs w:val="28"/>
          <w:highlight w:val="yellow"/>
          <w:u w:val="single"/>
          <w:lang w:val="en-US" w:eastAsia="zh-CN"/>
        </w:rPr>
        <w:t>25</w:t>
      </w:r>
      <w:r>
        <w:rPr>
          <w:rFonts w:hint="eastAsia" w:ascii="仿宋_GB2312" w:hAnsi="仿宋_GB2312" w:eastAsia="仿宋_GB2312" w:cs="仿宋_GB2312"/>
          <w:b/>
          <w:bCs/>
          <w:color w:val="000000"/>
          <w:sz w:val="28"/>
          <w:szCs w:val="28"/>
          <w:highlight w:val="yellow"/>
          <w:u w:val="single"/>
        </w:rPr>
        <w:t>年</w:t>
      </w:r>
      <w:r>
        <w:rPr>
          <w:rFonts w:hint="eastAsia" w:ascii="仿宋_GB2312" w:hAnsi="仿宋_GB2312" w:eastAsia="仿宋_GB2312" w:cs="仿宋_GB2312"/>
          <w:b/>
          <w:bCs/>
          <w:color w:val="000000"/>
          <w:sz w:val="28"/>
          <w:szCs w:val="28"/>
          <w:highlight w:val="yellow"/>
          <w:u w:val="single"/>
          <w:lang w:val="en-US" w:eastAsia="zh-CN"/>
        </w:rPr>
        <w:t>3</w:t>
      </w:r>
      <w:r>
        <w:rPr>
          <w:rFonts w:hint="eastAsia" w:ascii="仿宋_GB2312" w:hAnsi="仿宋_GB2312" w:eastAsia="仿宋_GB2312" w:cs="仿宋_GB2312"/>
          <w:b/>
          <w:bCs/>
          <w:color w:val="000000"/>
          <w:sz w:val="28"/>
          <w:szCs w:val="28"/>
          <w:highlight w:val="yellow"/>
          <w:u w:val="single"/>
        </w:rPr>
        <w:t>月</w:t>
      </w:r>
      <w:r>
        <w:rPr>
          <w:rFonts w:hint="eastAsia" w:ascii="仿宋_GB2312" w:hAnsi="仿宋_GB2312" w:eastAsia="仿宋_GB2312" w:cs="仿宋_GB2312"/>
          <w:b/>
          <w:bCs/>
          <w:color w:val="000000"/>
          <w:sz w:val="28"/>
          <w:szCs w:val="28"/>
          <w:highlight w:val="yellow"/>
          <w:u w:val="single"/>
          <w:lang w:val="en-US" w:eastAsia="zh-CN"/>
        </w:rPr>
        <w:t>6</w:t>
      </w:r>
      <w:r>
        <w:rPr>
          <w:rFonts w:hint="eastAsia" w:ascii="仿宋_GB2312" w:hAnsi="仿宋_GB2312" w:eastAsia="仿宋_GB2312" w:cs="仿宋_GB2312"/>
          <w:b/>
          <w:bCs/>
          <w:color w:val="000000"/>
          <w:sz w:val="28"/>
          <w:szCs w:val="28"/>
          <w:highlight w:val="yellow"/>
          <w:u w:val="single"/>
        </w:rPr>
        <w:t>日</w:t>
      </w:r>
      <w:r>
        <w:rPr>
          <w:rFonts w:ascii="仿宋_GB2312" w:hAnsi="仿宋_GB2312" w:eastAsia="仿宋_GB2312" w:cs="仿宋_GB2312"/>
          <w:b/>
          <w:bCs/>
          <w:color w:val="000000"/>
          <w:sz w:val="28"/>
          <w:szCs w:val="28"/>
          <w:highlight w:val="yellow"/>
          <w:u w:val="single"/>
        </w:rPr>
        <w:t>—</w:t>
      </w:r>
      <w:r>
        <w:rPr>
          <w:rFonts w:hint="eastAsia" w:ascii="仿宋_GB2312" w:hAnsi="仿宋_GB2312" w:eastAsia="仿宋_GB2312" w:cs="仿宋_GB2312"/>
          <w:b/>
          <w:bCs/>
          <w:color w:val="000000"/>
          <w:sz w:val="28"/>
          <w:szCs w:val="28"/>
          <w:highlight w:val="yellow"/>
          <w:u w:val="single"/>
          <w:lang w:val="en-US" w:eastAsia="zh-CN"/>
        </w:rPr>
        <w:t>3</w:t>
      </w:r>
      <w:r>
        <w:rPr>
          <w:rFonts w:hint="eastAsia" w:ascii="仿宋_GB2312" w:hAnsi="仿宋_GB2312" w:eastAsia="仿宋_GB2312" w:cs="仿宋_GB2312"/>
          <w:b/>
          <w:bCs/>
          <w:color w:val="000000"/>
          <w:sz w:val="28"/>
          <w:szCs w:val="28"/>
          <w:highlight w:val="yellow"/>
          <w:u w:val="single"/>
        </w:rPr>
        <w:t>月</w:t>
      </w:r>
      <w:r>
        <w:rPr>
          <w:rFonts w:hint="eastAsia" w:ascii="仿宋_GB2312" w:hAnsi="仿宋_GB2312" w:eastAsia="仿宋_GB2312" w:cs="仿宋_GB2312"/>
          <w:b/>
          <w:bCs/>
          <w:color w:val="000000"/>
          <w:sz w:val="28"/>
          <w:szCs w:val="28"/>
          <w:highlight w:val="yellow"/>
          <w:u w:val="single"/>
          <w:lang w:val="en-US" w:eastAsia="zh-CN"/>
        </w:rPr>
        <w:t>12</w:t>
      </w:r>
      <w:r>
        <w:rPr>
          <w:rFonts w:hint="eastAsia" w:ascii="仿宋_GB2312" w:hAnsi="仿宋_GB2312" w:eastAsia="仿宋_GB2312" w:cs="仿宋_GB2312"/>
          <w:b/>
          <w:bCs/>
          <w:color w:val="000000"/>
          <w:sz w:val="28"/>
          <w:szCs w:val="28"/>
          <w:highlight w:val="yellow"/>
          <w:u w:val="single"/>
        </w:rPr>
        <w:t>日（</w:t>
      </w:r>
      <w:r>
        <w:rPr>
          <w:rFonts w:ascii="仿宋_GB2312" w:hAnsi="仿宋_GB2312" w:eastAsia="仿宋_GB2312" w:cs="仿宋_GB2312"/>
          <w:b/>
          <w:bCs/>
          <w:color w:val="000000"/>
          <w:sz w:val="28"/>
          <w:szCs w:val="28"/>
          <w:highlight w:val="yellow"/>
          <w:u w:val="single"/>
        </w:rPr>
        <w:t>9:00-11:00</w:t>
      </w:r>
      <w:r>
        <w:rPr>
          <w:rFonts w:hint="eastAsia" w:ascii="仿宋_GB2312" w:hAnsi="仿宋_GB2312" w:eastAsia="仿宋_GB2312" w:cs="仿宋_GB2312"/>
          <w:b/>
          <w:bCs/>
          <w:color w:val="000000"/>
          <w:sz w:val="28"/>
          <w:szCs w:val="28"/>
          <w:highlight w:val="yellow"/>
          <w:u w:val="single"/>
        </w:rPr>
        <w:t>；</w:t>
      </w:r>
      <w:r>
        <w:rPr>
          <w:rFonts w:ascii="仿宋_GB2312" w:hAnsi="仿宋_GB2312" w:eastAsia="仿宋_GB2312" w:cs="仿宋_GB2312"/>
          <w:b/>
          <w:bCs/>
          <w:color w:val="000000"/>
          <w:sz w:val="28"/>
          <w:szCs w:val="28"/>
          <w:highlight w:val="yellow"/>
          <w:u w:val="single"/>
        </w:rPr>
        <w:t>15:00—17:30</w:t>
      </w:r>
      <w:r>
        <w:rPr>
          <w:rFonts w:hint="eastAsia" w:ascii="仿宋_GB2312" w:hAnsi="仿宋_GB2312" w:eastAsia="仿宋_GB2312" w:cs="仿宋_GB2312"/>
          <w:b/>
          <w:bCs/>
          <w:color w:val="000000"/>
          <w:sz w:val="28"/>
          <w:szCs w:val="28"/>
          <w:highlight w:val="yellow"/>
          <w:u w:val="single"/>
        </w:rPr>
        <w:t>）；</w:t>
      </w:r>
    </w:p>
    <w:p w14:paraId="1AD271F6">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54AE4422">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0515—68661002/13</w:t>
      </w:r>
      <w:r>
        <w:rPr>
          <w:rFonts w:hint="eastAsia" w:ascii="仿宋_GB2312" w:hAnsi="仿宋_GB2312" w:eastAsia="仿宋_GB2312" w:cs="仿宋_GB2312"/>
          <w:color w:val="000000"/>
          <w:sz w:val="28"/>
          <w:szCs w:val="28"/>
          <w:lang w:val="en-US" w:eastAsia="zh-CN"/>
        </w:rPr>
        <w:t>056150848</w:t>
      </w:r>
    </w:p>
    <w:p w14:paraId="1C5EAE0A">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55C908DE">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color w:val="000000"/>
          <w:sz w:val="28"/>
          <w:szCs w:val="28"/>
          <w:highlight w:val="yellow"/>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招标</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highlight w:val="yellow"/>
          <w:u w:val="single"/>
        </w:rPr>
        <w:t>20</w:t>
      </w:r>
      <w:r>
        <w:rPr>
          <w:rFonts w:hint="eastAsia" w:ascii="仿宋_GB2312" w:hAnsi="仿宋_GB2312" w:eastAsia="仿宋_GB2312" w:cs="仿宋_GB2312"/>
          <w:b/>
          <w:bCs/>
          <w:color w:val="000000"/>
          <w:sz w:val="28"/>
          <w:szCs w:val="28"/>
          <w:highlight w:val="yellow"/>
          <w:u w:val="single"/>
          <w:lang w:val="en-US" w:eastAsia="zh-CN"/>
        </w:rPr>
        <w:t>25</w:t>
      </w:r>
      <w:r>
        <w:rPr>
          <w:rFonts w:hint="eastAsia" w:ascii="仿宋_GB2312" w:hAnsi="仿宋_GB2312" w:eastAsia="仿宋_GB2312" w:cs="仿宋_GB2312"/>
          <w:b/>
          <w:bCs/>
          <w:color w:val="000000"/>
          <w:sz w:val="28"/>
          <w:szCs w:val="28"/>
          <w:highlight w:val="yellow"/>
          <w:u w:val="single"/>
        </w:rPr>
        <w:t>年</w:t>
      </w:r>
      <w:r>
        <w:rPr>
          <w:rFonts w:hint="eastAsia" w:ascii="仿宋_GB2312" w:hAnsi="仿宋_GB2312" w:eastAsia="仿宋_GB2312" w:cs="仿宋_GB2312"/>
          <w:b/>
          <w:bCs/>
          <w:color w:val="000000"/>
          <w:sz w:val="28"/>
          <w:szCs w:val="28"/>
          <w:highlight w:val="yellow"/>
          <w:u w:val="single"/>
          <w:lang w:val="en-US" w:eastAsia="zh-CN"/>
        </w:rPr>
        <w:t xml:space="preserve"> 3</w:t>
      </w:r>
      <w:r>
        <w:rPr>
          <w:rFonts w:hint="eastAsia" w:ascii="仿宋_GB2312" w:hAnsi="仿宋_GB2312" w:eastAsia="仿宋_GB2312" w:cs="仿宋_GB2312"/>
          <w:b/>
          <w:bCs/>
          <w:color w:val="000000"/>
          <w:sz w:val="28"/>
          <w:szCs w:val="28"/>
          <w:highlight w:val="yellow"/>
          <w:u w:val="single"/>
        </w:rPr>
        <w:t>月</w:t>
      </w:r>
      <w:r>
        <w:rPr>
          <w:rFonts w:hint="eastAsia" w:ascii="仿宋_GB2312" w:hAnsi="仿宋_GB2312" w:eastAsia="仿宋_GB2312" w:cs="仿宋_GB2312"/>
          <w:b/>
          <w:bCs/>
          <w:color w:val="000000"/>
          <w:sz w:val="28"/>
          <w:szCs w:val="28"/>
          <w:highlight w:val="yellow"/>
          <w:u w:val="single"/>
          <w:lang w:val="en-US" w:eastAsia="zh-CN"/>
        </w:rPr>
        <w:t>13</w:t>
      </w:r>
      <w:r>
        <w:rPr>
          <w:rFonts w:hint="eastAsia" w:ascii="仿宋_GB2312" w:hAnsi="仿宋_GB2312" w:eastAsia="仿宋_GB2312" w:cs="仿宋_GB2312"/>
          <w:b/>
          <w:bCs/>
          <w:color w:val="000000"/>
          <w:sz w:val="28"/>
          <w:szCs w:val="28"/>
          <w:highlight w:val="yellow"/>
          <w:u w:val="single"/>
        </w:rPr>
        <w:t>日</w:t>
      </w:r>
      <w:r>
        <w:rPr>
          <w:rFonts w:hint="eastAsia" w:ascii="仿宋_GB2312" w:hAnsi="仿宋_GB2312" w:eastAsia="仿宋_GB2312" w:cs="仿宋_GB2312"/>
          <w:b/>
          <w:bCs/>
          <w:color w:val="000000"/>
          <w:sz w:val="28"/>
          <w:szCs w:val="28"/>
          <w:highlight w:val="yellow"/>
          <w:u w:val="single"/>
          <w:lang w:val="en-US" w:eastAsia="zh-CN"/>
        </w:rPr>
        <w:t>15</w:t>
      </w:r>
      <w:r>
        <w:rPr>
          <w:rFonts w:hint="eastAsia" w:ascii="仿宋_GB2312" w:hAnsi="仿宋_GB2312" w:eastAsia="仿宋_GB2312" w:cs="仿宋_GB2312"/>
          <w:b/>
          <w:bCs/>
          <w:color w:val="000000"/>
          <w:sz w:val="28"/>
          <w:szCs w:val="28"/>
          <w:highlight w:val="yellow"/>
          <w:u w:val="single"/>
        </w:rPr>
        <w:t>时</w:t>
      </w:r>
      <w:r>
        <w:rPr>
          <w:rFonts w:hint="eastAsia" w:ascii="仿宋_GB2312" w:hAnsi="仿宋_GB2312" w:eastAsia="仿宋_GB2312" w:cs="仿宋_GB2312"/>
          <w:b/>
          <w:bCs/>
          <w:color w:val="000000"/>
          <w:sz w:val="28"/>
          <w:szCs w:val="28"/>
          <w:highlight w:val="yellow"/>
          <w:u w:val="single"/>
          <w:lang w:val="en-US" w:eastAsia="zh-CN"/>
        </w:rPr>
        <w:t>00</w:t>
      </w:r>
      <w:r>
        <w:rPr>
          <w:rFonts w:hint="eastAsia" w:ascii="仿宋_GB2312" w:hAnsi="仿宋_GB2312" w:eastAsia="仿宋_GB2312" w:cs="仿宋_GB2312"/>
          <w:b/>
          <w:bCs/>
          <w:color w:val="000000"/>
          <w:sz w:val="28"/>
          <w:szCs w:val="28"/>
          <w:highlight w:val="yellow"/>
          <w:u w:val="single"/>
        </w:rPr>
        <w:t>分</w:t>
      </w:r>
      <w:r>
        <w:rPr>
          <w:rFonts w:hint="eastAsia" w:ascii="仿宋_GB2312" w:hAnsi="仿宋_GB2312" w:eastAsia="仿宋_GB2312" w:cs="仿宋_GB2312"/>
          <w:b/>
          <w:bCs/>
          <w:color w:val="000000"/>
          <w:sz w:val="28"/>
          <w:szCs w:val="28"/>
          <w:highlight w:val="yellow"/>
          <w:u w:val="single"/>
          <w:lang w:val="en-US" w:eastAsia="zh-CN"/>
        </w:rPr>
        <w:t>00</w:t>
      </w:r>
      <w:r>
        <w:rPr>
          <w:rFonts w:hint="eastAsia" w:ascii="仿宋_GB2312" w:hAnsi="仿宋_GB2312" w:eastAsia="仿宋_GB2312" w:cs="仿宋_GB2312"/>
          <w:b/>
          <w:bCs/>
          <w:color w:val="000000"/>
          <w:sz w:val="28"/>
          <w:szCs w:val="28"/>
          <w:highlight w:val="yellow"/>
          <w:u w:val="single"/>
        </w:rPr>
        <w:t>秒；</w:t>
      </w:r>
    </w:p>
    <w:p w14:paraId="774669A7">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color w:val="000000"/>
          <w:sz w:val="28"/>
          <w:szCs w:val="28"/>
          <w:highlight w:val="yellow"/>
        </w:rPr>
      </w:pPr>
      <w:r>
        <w:rPr>
          <w:rFonts w:ascii="仿宋_GB2312" w:hAnsi="仿宋_GB2312" w:eastAsia="仿宋_GB2312" w:cs="仿宋_GB2312"/>
          <w:color w:val="000000"/>
          <w:sz w:val="28"/>
          <w:szCs w:val="28"/>
          <w:highlight w:val="yellow"/>
        </w:rPr>
        <w:t>3.</w:t>
      </w:r>
      <w:r>
        <w:rPr>
          <w:rFonts w:hint="eastAsia" w:ascii="仿宋_GB2312" w:hAnsi="仿宋_GB2312" w:eastAsia="仿宋_GB2312" w:cs="仿宋_GB2312"/>
          <w:color w:val="000000"/>
          <w:sz w:val="28"/>
          <w:szCs w:val="28"/>
          <w:highlight w:val="yellow"/>
          <w:lang w:val="en-US" w:eastAsia="zh-CN"/>
        </w:rPr>
        <w:t>开标</w:t>
      </w:r>
      <w:r>
        <w:rPr>
          <w:rFonts w:hint="eastAsia" w:ascii="仿宋_GB2312" w:hAnsi="仿宋_GB2312" w:eastAsia="仿宋_GB2312" w:cs="仿宋_GB2312"/>
          <w:color w:val="000000"/>
          <w:sz w:val="28"/>
          <w:szCs w:val="28"/>
          <w:highlight w:val="yellow"/>
        </w:rPr>
        <w:t>时间：</w:t>
      </w:r>
      <w:r>
        <w:rPr>
          <w:rFonts w:ascii="仿宋_GB2312" w:hAnsi="仿宋_GB2312" w:eastAsia="仿宋_GB2312" w:cs="仿宋_GB2312"/>
          <w:b/>
          <w:bCs/>
          <w:color w:val="000000"/>
          <w:sz w:val="28"/>
          <w:szCs w:val="28"/>
          <w:highlight w:val="yellow"/>
          <w:u w:val="single"/>
        </w:rPr>
        <w:t>20</w:t>
      </w:r>
      <w:r>
        <w:rPr>
          <w:rFonts w:hint="eastAsia" w:ascii="仿宋_GB2312" w:hAnsi="仿宋_GB2312" w:eastAsia="仿宋_GB2312" w:cs="仿宋_GB2312"/>
          <w:b/>
          <w:bCs/>
          <w:color w:val="000000"/>
          <w:sz w:val="28"/>
          <w:szCs w:val="28"/>
          <w:highlight w:val="yellow"/>
          <w:u w:val="single"/>
          <w:lang w:val="en-US" w:eastAsia="zh-CN"/>
        </w:rPr>
        <w:t>25</w:t>
      </w:r>
      <w:r>
        <w:rPr>
          <w:rFonts w:hint="eastAsia" w:ascii="仿宋_GB2312" w:hAnsi="仿宋_GB2312" w:eastAsia="仿宋_GB2312" w:cs="仿宋_GB2312"/>
          <w:b/>
          <w:bCs/>
          <w:color w:val="000000"/>
          <w:sz w:val="28"/>
          <w:szCs w:val="28"/>
          <w:highlight w:val="yellow"/>
          <w:u w:val="single"/>
        </w:rPr>
        <w:t>年</w:t>
      </w:r>
      <w:r>
        <w:rPr>
          <w:rFonts w:hint="eastAsia" w:ascii="仿宋_GB2312" w:hAnsi="仿宋_GB2312" w:eastAsia="仿宋_GB2312" w:cs="仿宋_GB2312"/>
          <w:b/>
          <w:bCs/>
          <w:color w:val="000000"/>
          <w:sz w:val="28"/>
          <w:szCs w:val="28"/>
          <w:highlight w:val="yellow"/>
          <w:u w:val="single"/>
          <w:lang w:val="en-US" w:eastAsia="zh-CN"/>
        </w:rPr>
        <w:t>3</w:t>
      </w:r>
      <w:r>
        <w:rPr>
          <w:rFonts w:hint="eastAsia" w:ascii="仿宋_GB2312" w:hAnsi="仿宋_GB2312" w:eastAsia="仿宋_GB2312" w:cs="仿宋_GB2312"/>
          <w:b/>
          <w:bCs/>
          <w:color w:val="000000"/>
          <w:sz w:val="28"/>
          <w:szCs w:val="28"/>
          <w:highlight w:val="yellow"/>
          <w:u w:val="single"/>
        </w:rPr>
        <w:t>月</w:t>
      </w:r>
      <w:r>
        <w:rPr>
          <w:rFonts w:hint="eastAsia" w:ascii="仿宋_GB2312" w:hAnsi="仿宋_GB2312" w:eastAsia="仿宋_GB2312" w:cs="仿宋_GB2312"/>
          <w:b/>
          <w:bCs/>
          <w:color w:val="000000"/>
          <w:sz w:val="28"/>
          <w:szCs w:val="28"/>
          <w:highlight w:val="yellow"/>
          <w:u w:val="single"/>
          <w:lang w:val="en-US" w:eastAsia="zh-CN"/>
        </w:rPr>
        <w:t>13</w:t>
      </w:r>
      <w:r>
        <w:rPr>
          <w:rFonts w:hint="eastAsia" w:ascii="仿宋_GB2312" w:hAnsi="仿宋_GB2312" w:eastAsia="仿宋_GB2312" w:cs="仿宋_GB2312"/>
          <w:b/>
          <w:bCs/>
          <w:color w:val="000000"/>
          <w:sz w:val="28"/>
          <w:szCs w:val="28"/>
          <w:highlight w:val="yellow"/>
          <w:u w:val="single"/>
        </w:rPr>
        <w:t>日</w:t>
      </w:r>
      <w:r>
        <w:rPr>
          <w:rFonts w:hint="eastAsia" w:ascii="仿宋_GB2312" w:hAnsi="仿宋_GB2312" w:eastAsia="仿宋_GB2312" w:cs="仿宋_GB2312"/>
          <w:b/>
          <w:bCs/>
          <w:color w:val="000000"/>
          <w:sz w:val="28"/>
          <w:szCs w:val="28"/>
          <w:highlight w:val="yellow"/>
          <w:u w:val="single"/>
          <w:lang w:val="en-US" w:eastAsia="zh-CN"/>
        </w:rPr>
        <w:t>15</w:t>
      </w:r>
      <w:r>
        <w:rPr>
          <w:rFonts w:hint="eastAsia" w:ascii="仿宋_GB2312" w:hAnsi="仿宋_GB2312" w:eastAsia="仿宋_GB2312" w:cs="仿宋_GB2312"/>
          <w:b/>
          <w:bCs/>
          <w:color w:val="000000"/>
          <w:sz w:val="28"/>
          <w:szCs w:val="28"/>
          <w:highlight w:val="yellow"/>
          <w:u w:val="single"/>
        </w:rPr>
        <w:t>时</w:t>
      </w:r>
      <w:r>
        <w:rPr>
          <w:rFonts w:hint="eastAsia" w:ascii="仿宋_GB2312" w:hAnsi="仿宋_GB2312" w:eastAsia="仿宋_GB2312" w:cs="仿宋_GB2312"/>
          <w:b/>
          <w:bCs/>
          <w:color w:val="000000"/>
          <w:sz w:val="28"/>
          <w:szCs w:val="28"/>
          <w:highlight w:val="yellow"/>
          <w:u w:val="single"/>
          <w:lang w:val="en-US" w:eastAsia="zh-CN"/>
        </w:rPr>
        <w:t>00</w:t>
      </w:r>
      <w:r>
        <w:rPr>
          <w:rFonts w:hint="eastAsia" w:ascii="仿宋_GB2312" w:hAnsi="仿宋_GB2312" w:eastAsia="仿宋_GB2312" w:cs="仿宋_GB2312"/>
          <w:b/>
          <w:bCs/>
          <w:color w:val="000000"/>
          <w:sz w:val="28"/>
          <w:szCs w:val="28"/>
          <w:highlight w:val="yellow"/>
          <w:u w:val="single"/>
        </w:rPr>
        <w:t>分</w:t>
      </w:r>
      <w:r>
        <w:rPr>
          <w:rFonts w:hint="eastAsia" w:ascii="仿宋_GB2312" w:hAnsi="仿宋_GB2312" w:eastAsia="仿宋_GB2312" w:cs="仿宋_GB2312"/>
          <w:b/>
          <w:bCs/>
          <w:color w:val="000000"/>
          <w:sz w:val="28"/>
          <w:szCs w:val="28"/>
          <w:highlight w:val="yellow"/>
          <w:u w:val="single"/>
          <w:lang w:val="en-US" w:eastAsia="zh-CN"/>
        </w:rPr>
        <w:t>00</w:t>
      </w:r>
      <w:r>
        <w:rPr>
          <w:rFonts w:hint="eastAsia" w:ascii="仿宋_GB2312" w:hAnsi="仿宋_GB2312" w:eastAsia="仿宋_GB2312" w:cs="仿宋_GB2312"/>
          <w:b/>
          <w:bCs/>
          <w:color w:val="000000"/>
          <w:sz w:val="28"/>
          <w:szCs w:val="28"/>
          <w:highlight w:val="yellow"/>
          <w:u w:val="single"/>
        </w:rPr>
        <w:t>秒；</w:t>
      </w:r>
    </w:p>
    <w:p w14:paraId="48F81870">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招标</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42340D48">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六、履约保证金</w:t>
      </w:r>
    </w:p>
    <w:p w14:paraId="7AE25D6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3</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1F8A5DB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6D6D6B7C">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13B8683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49265151">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7E283F3B">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7245C06F">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1C490450">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61C972ED">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20A91597">
      <w:pPr>
        <w:jc w:val="center"/>
        <w:rPr>
          <w:rFonts w:hint="eastAsia" w:eastAsia="黑体" w:cs="黑体"/>
          <w:sz w:val="44"/>
          <w:szCs w:val="44"/>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FF0000"/>
          <w:sz w:val="28"/>
          <w:szCs w:val="28"/>
          <w:lang w:eastAsia="zh-CN"/>
        </w:rPr>
        <w:t>20</w:t>
      </w:r>
      <w:r>
        <w:rPr>
          <w:rFonts w:hint="eastAsia" w:ascii="仿宋_GB2312" w:hAnsi="仿宋_GB2312" w:eastAsia="仿宋_GB2312" w:cs="仿宋_GB2312"/>
          <w:color w:val="FF0000"/>
          <w:sz w:val="28"/>
          <w:szCs w:val="28"/>
          <w:lang w:val="en-US" w:eastAsia="zh-CN"/>
        </w:rPr>
        <w:t>25</w:t>
      </w:r>
      <w:r>
        <w:rPr>
          <w:rFonts w:hint="eastAsia" w:ascii="仿宋_GB2312" w:hAnsi="仿宋_GB2312" w:eastAsia="仿宋_GB2312" w:cs="仿宋_GB2312"/>
          <w:color w:val="FF0000"/>
          <w:sz w:val="28"/>
          <w:szCs w:val="28"/>
          <w:lang w:eastAsia="zh-CN"/>
        </w:rPr>
        <w:t>年</w:t>
      </w:r>
      <w:r>
        <w:rPr>
          <w:rFonts w:hint="eastAsia" w:ascii="仿宋_GB2312" w:hAnsi="仿宋_GB2312" w:eastAsia="仿宋_GB2312" w:cs="仿宋_GB2312"/>
          <w:color w:val="FF0000"/>
          <w:sz w:val="28"/>
          <w:szCs w:val="28"/>
          <w:lang w:val="en-US" w:eastAsia="zh-CN"/>
        </w:rPr>
        <w:t>3</w:t>
      </w:r>
      <w:r>
        <w:rPr>
          <w:rFonts w:hint="eastAsia" w:ascii="仿宋_GB2312" w:hAnsi="仿宋_GB2312" w:eastAsia="仿宋_GB2312" w:cs="仿宋_GB2312"/>
          <w:color w:val="FF0000"/>
          <w:sz w:val="28"/>
          <w:szCs w:val="28"/>
          <w:lang w:eastAsia="zh-CN"/>
        </w:rPr>
        <w:t>月</w:t>
      </w:r>
      <w:r>
        <w:rPr>
          <w:rFonts w:hint="eastAsia" w:ascii="仿宋_GB2312" w:hAnsi="仿宋_GB2312" w:eastAsia="仿宋_GB2312" w:cs="仿宋_GB2312"/>
          <w:color w:val="FF0000"/>
          <w:sz w:val="28"/>
          <w:szCs w:val="28"/>
          <w:lang w:val="en-US" w:eastAsia="zh-CN"/>
        </w:rPr>
        <w:t>5</w:t>
      </w:r>
      <w:r>
        <w:rPr>
          <w:rFonts w:hint="eastAsia" w:ascii="仿宋_GB2312" w:hAnsi="仿宋_GB2312" w:eastAsia="仿宋_GB2312" w:cs="仿宋_GB2312"/>
          <w:color w:val="FF0000"/>
          <w:sz w:val="28"/>
          <w:szCs w:val="28"/>
          <w:lang w:eastAsia="zh-CN"/>
        </w:rPr>
        <w:t>日</w:t>
      </w:r>
      <w:bookmarkStart w:id="1" w:name="_GoBack"/>
      <w:bookmarkEnd w:id="1"/>
    </w:p>
    <w:p w14:paraId="48C7C3EC">
      <w:pPr>
        <w:spacing w:before="156" w:beforeLines="50" w:after="156" w:afterLines="50" w:line="480" w:lineRule="exact"/>
        <w:jc w:val="center"/>
        <w:rPr>
          <w:rFonts w:hint="eastAsia" w:eastAsia="黑体" w:cs="黑体"/>
          <w:sz w:val="44"/>
          <w:szCs w:val="44"/>
        </w:rPr>
      </w:pPr>
    </w:p>
    <w:p w14:paraId="2FC08FC1">
      <w:pPr>
        <w:spacing w:line="440" w:lineRule="exact"/>
        <w:ind w:firstLine="560" w:firstLineChars="200"/>
        <w:rPr>
          <w:rFonts w:hint="eastAsia" w:ascii="仿宋_GB2312" w:hAnsi="微软雅黑" w:eastAsia="仿宋_GB2312" w:cs="仿宋_GB2312"/>
          <w:color w:val="000000"/>
          <w:kern w:val="0"/>
          <w:sz w:val="28"/>
          <w:szCs w:val="28"/>
          <w:shd w:val="clear" w:color="auto" w:fill="FFFFFF"/>
        </w:rPr>
      </w:pPr>
    </w:p>
    <w:sectPr>
      <w:footerReference r:id="rId3"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9C83B2">
    <w:pPr>
      <w:pStyle w:val="6"/>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486D43">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fill on="f" focussize="0,0"/>
              <v:stroke on="f"/>
              <v:imagedata o:title=""/>
              <o:lock v:ext="edit" aspectratio="f"/>
              <v:textbox inset="0mm,0mm,0mm,0mm" style="mso-fit-shape-to-text:t;">
                <w:txbxContent>
                  <w:p w14:paraId="78486D43">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0D06AA"/>
    <w:rsid w:val="000A7675"/>
    <w:rsid w:val="000F07C3"/>
    <w:rsid w:val="00106121"/>
    <w:rsid w:val="004607A9"/>
    <w:rsid w:val="00557285"/>
    <w:rsid w:val="007B76EA"/>
    <w:rsid w:val="00885343"/>
    <w:rsid w:val="00A1465F"/>
    <w:rsid w:val="00A179CF"/>
    <w:rsid w:val="00B078E0"/>
    <w:rsid w:val="00BE398D"/>
    <w:rsid w:val="00CB1F97"/>
    <w:rsid w:val="022D4961"/>
    <w:rsid w:val="0B3F2949"/>
    <w:rsid w:val="0BA1621A"/>
    <w:rsid w:val="0DB62413"/>
    <w:rsid w:val="0E800C33"/>
    <w:rsid w:val="0E84168B"/>
    <w:rsid w:val="0ED951D8"/>
    <w:rsid w:val="0F6F1ADE"/>
    <w:rsid w:val="105940B3"/>
    <w:rsid w:val="108B00F9"/>
    <w:rsid w:val="12FF17E2"/>
    <w:rsid w:val="16AD3E09"/>
    <w:rsid w:val="174204AD"/>
    <w:rsid w:val="1CAF42D9"/>
    <w:rsid w:val="1ECE623E"/>
    <w:rsid w:val="227C3A51"/>
    <w:rsid w:val="24E57054"/>
    <w:rsid w:val="2AAB5DE7"/>
    <w:rsid w:val="2C0D06AA"/>
    <w:rsid w:val="2DE0049D"/>
    <w:rsid w:val="2F2D2F3C"/>
    <w:rsid w:val="2F3E28C6"/>
    <w:rsid w:val="32C361BD"/>
    <w:rsid w:val="334632D7"/>
    <w:rsid w:val="35FB1B31"/>
    <w:rsid w:val="36783969"/>
    <w:rsid w:val="37345DBB"/>
    <w:rsid w:val="374B21BE"/>
    <w:rsid w:val="3C7E71AA"/>
    <w:rsid w:val="3D7021EA"/>
    <w:rsid w:val="3DD54E66"/>
    <w:rsid w:val="40677901"/>
    <w:rsid w:val="475B7B1B"/>
    <w:rsid w:val="47B95CCA"/>
    <w:rsid w:val="47CA04B1"/>
    <w:rsid w:val="4EAF052E"/>
    <w:rsid w:val="4F0E1AA6"/>
    <w:rsid w:val="50532C8D"/>
    <w:rsid w:val="524B2273"/>
    <w:rsid w:val="54B75D37"/>
    <w:rsid w:val="54FA65AF"/>
    <w:rsid w:val="55ED6541"/>
    <w:rsid w:val="5ABD5560"/>
    <w:rsid w:val="5C1223BD"/>
    <w:rsid w:val="5F0D31F9"/>
    <w:rsid w:val="606049A2"/>
    <w:rsid w:val="68412EF9"/>
    <w:rsid w:val="684B12C2"/>
    <w:rsid w:val="69594684"/>
    <w:rsid w:val="69B119E0"/>
    <w:rsid w:val="6A43625F"/>
    <w:rsid w:val="6BEB46DD"/>
    <w:rsid w:val="6D3B6E7E"/>
    <w:rsid w:val="6DBE3CF5"/>
    <w:rsid w:val="6F251DD7"/>
    <w:rsid w:val="6FA1339A"/>
    <w:rsid w:val="7148211B"/>
    <w:rsid w:val="79B60CEA"/>
    <w:rsid w:val="7ABD4419"/>
    <w:rsid w:val="7B5B428C"/>
    <w:rsid w:val="7DF328D1"/>
    <w:rsid w:val="7FF038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keepNext/>
      <w:jc w:val="center"/>
      <w:outlineLvl w:val="0"/>
    </w:pPr>
    <w:rPr>
      <w:rFonts w:ascii="黑体" w:hAnsi="Times New Roman" w:eastAsia="宋体" w:cs="Times New Roman"/>
      <w:b/>
      <w:kern w:val="2"/>
      <w:sz w:val="32"/>
      <w:szCs w:val="24"/>
      <w:lang w:val="en-US" w:eastAsia="zh-CN" w:bidi="ar-SA"/>
      <w14:ligatures w14:val="standardContextual"/>
    </w:rPr>
  </w:style>
  <w:style w:type="paragraph" w:styleId="3">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5">
    <w:name w:val="Normal Indent"/>
    <w:basedOn w:val="1"/>
    <w:qFormat/>
    <w:uiPriority w:val="0"/>
    <w:pPr>
      <w:ind w:firstLine="420"/>
    </w:pPr>
  </w:style>
  <w:style w:type="paragraph" w:styleId="6">
    <w:name w:val="Body Text"/>
    <w:basedOn w:val="1"/>
    <w:semiHidden/>
    <w:qFormat/>
    <w:uiPriority w:val="0"/>
    <w:rPr>
      <w:rFonts w:ascii="Arial" w:hAnsi="Arial" w:eastAsia="Arial" w:cs="Arial"/>
      <w:sz w:val="21"/>
      <w:szCs w:val="21"/>
      <w:lang w:val="en-US" w:eastAsia="en-US" w:bidi="ar-SA"/>
    </w:rPr>
  </w:style>
  <w:style w:type="paragraph" w:styleId="7">
    <w:name w:val="Body Text Indent"/>
    <w:basedOn w:val="1"/>
    <w:next w:val="8"/>
    <w:qFormat/>
    <w:uiPriority w:val="0"/>
    <w:pPr>
      <w:ind w:firstLine="660"/>
    </w:pPr>
    <w:rPr>
      <w:rFonts w:ascii="宋体" w:hAnsi="宋体"/>
      <w:color w:val="000000"/>
      <w:sz w:val="24"/>
    </w:rPr>
  </w:style>
  <w:style w:type="paragraph" w:styleId="8">
    <w:name w:val="envelope return"/>
    <w:basedOn w:val="1"/>
    <w:qFormat/>
    <w:uiPriority w:val="0"/>
    <w:pPr>
      <w:snapToGrid w:val="0"/>
    </w:pPr>
    <w:rPr>
      <w:rFonts w:ascii="Arial" w:hAnsi="Arial"/>
    </w:rPr>
  </w:style>
  <w:style w:type="paragraph" w:styleId="9">
    <w:name w:val="Block Text"/>
    <w:basedOn w:val="1"/>
    <w:unhideWhenUsed/>
    <w:qFormat/>
    <w:uiPriority w:val="0"/>
    <w:pPr>
      <w:spacing w:line="360" w:lineRule="auto"/>
      <w:ind w:left="630" w:right="-609" w:firstLine="420"/>
    </w:pPr>
    <w:rPr>
      <w:rFonts w:ascii="仿宋_GB2312" w:eastAsia="仿宋_GB2312"/>
    </w:rPr>
  </w:style>
  <w:style w:type="paragraph" w:styleId="10">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6"/>
    <w:qFormat/>
    <w:uiPriority w:val="0"/>
    <w:pPr>
      <w:ind w:firstLine="420" w:firstLineChars="100"/>
    </w:pPr>
  </w:style>
  <w:style w:type="paragraph" w:styleId="14">
    <w:name w:val="Body Text First Indent 2"/>
    <w:basedOn w:val="7"/>
    <w:next w:val="5"/>
    <w:qFormat/>
    <w:uiPriority w:val="0"/>
    <w:pPr>
      <w:spacing w:after="120"/>
      <w:ind w:left="420" w:leftChars="200" w:firstLine="420" w:firstLineChars="200"/>
    </w:pPr>
    <w:rPr>
      <w:rFonts w:ascii="Times New Roman" w:hAnsi="Times New Roman"/>
      <w:color w:val="auto"/>
      <w:sz w:val="21"/>
      <w:szCs w:val="22"/>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14:ligatures w14:val="standardContextual"/>
    </w:rPr>
  </w:style>
  <w:style w:type="paragraph" w:customStyle="1" w:styleId="19">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0">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paragraph" w:customStyle="1" w:styleId="21">
    <w:name w:val="Table Text"/>
    <w:basedOn w:val="1"/>
    <w:semiHidden/>
    <w:qFormat/>
    <w:uiPriority w:val="0"/>
    <w:rPr>
      <w:rFonts w:ascii="微软雅黑" w:hAnsi="微软雅黑" w:eastAsia="微软雅黑" w:cs="微软雅黑"/>
      <w:sz w:val="27"/>
      <w:szCs w:val="27"/>
      <w:lang w:val="en-US" w:eastAsia="en-US" w:bidi="ar-SA"/>
    </w:rPr>
  </w:style>
  <w:style w:type="paragraph" w:customStyle="1" w:styleId="22">
    <w:name w:val="正文首行缩进11"/>
    <w:basedOn w:val="1"/>
    <w:next w:val="1"/>
    <w:unhideWhenUsed/>
    <w:qFormat/>
    <w:uiPriority w:val="99"/>
    <w:pPr>
      <w:ind w:firstLine="420"/>
    </w:pPr>
    <w:rPr>
      <w:rFonts w:ascii="Times New Roman" w:hAnsi="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11608</Words>
  <Characters>12000</Characters>
  <Lines>26</Lines>
  <Paragraphs>7</Paragraphs>
  <TotalTime>18</TotalTime>
  <ScaleCrop>false</ScaleCrop>
  <LinksUpToDate>false</LinksUpToDate>
  <CharactersWithSpaces>12951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2024-12-19T08:58:00Z</dcterms:created>
  <dc:creator>甜甜的</dc:creator>
  <cp:lastModifiedBy>坐看云起时</cp:lastModifiedBy>
  <cp:lastPrinted>2025-02-18T03:21:00Z</cp:lastPrinted>
  <dcterms:modified xsi:type="dcterms:W3CDTF">2025-03-06T06:24:36Z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3EAAD4DC2ECB401CBB7101DECE943AF7_13</vt:lpwstr>
  </property>
  <property fmtid="{D5CDD505-2E9C-101B-9397-08002B2CF9AE}" pid="4" name="KSOTemplateDocerSaveRecord">
    <vt:lpwstr>eyJoZGlkIjoiNzIyZjZjZmE5OGMwOTQ4YjM3ZGY2ZGNmMGE4MGM4NjIiLCJ1c2VySWQiOiI1NDYzNzMyNDkifQ==</vt:lpwstr>
  </property>
</Properties>
</file>