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EA1A4B">
      <w:pPr>
        <w:spacing w:line="560" w:lineRule="exact"/>
        <w:jc w:val="center"/>
        <w:rPr>
          <w:rFonts w:hint="eastAsia" w:ascii="宋体" w:hAnsi="宋体" w:cs="宋体"/>
          <w:b/>
          <w:color w:val="000000"/>
          <w:sz w:val="44"/>
          <w:szCs w:val="44"/>
        </w:rPr>
      </w:pPr>
      <w:r>
        <w:rPr>
          <w:rFonts w:hint="eastAsia" w:ascii="宋体" w:hAnsi="宋体" w:cs="宋体"/>
          <w:b/>
          <w:color w:val="000000"/>
          <w:sz w:val="44"/>
          <w:szCs w:val="44"/>
          <w:lang w:val="en-US" w:eastAsia="zh-CN"/>
        </w:rPr>
        <w:t>江苏省盐城技师学院文港路校区雨污分流项目遴选跟踪审计单位项目</w:t>
      </w:r>
      <w:r>
        <w:rPr>
          <w:rFonts w:hint="eastAsia" w:ascii="宋体" w:hAnsi="宋体" w:cs="宋体"/>
          <w:b/>
          <w:color w:val="000000"/>
          <w:sz w:val="44"/>
          <w:szCs w:val="44"/>
        </w:rPr>
        <w:t>询价公告</w:t>
      </w:r>
    </w:p>
    <w:p w14:paraId="60C5C2C2">
      <w:pPr>
        <w:keepNext w:val="0"/>
        <w:keepLines w:val="0"/>
        <w:pageBreakBefore w:val="0"/>
        <w:widowControl w:val="0"/>
        <w:kinsoku/>
        <w:wordWrap/>
        <w:overflowPunct/>
        <w:topLinePunct w:val="0"/>
        <w:autoSpaceDE/>
        <w:autoSpaceDN/>
        <w:bidi w:val="0"/>
        <w:adjustRightInd/>
        <w:spacing w:beforeAutospacing="0" w:afterAutospacing="0" w:line="440" w:lineRule="exact"/>
        <w:ind w:left="0"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val="en-US" w:eastAsia="zh-CN"/>
        </w:rPr>
        <w:t>江苏省盐城技师学院文港路校区雨污分流项目遴选跟踪审计单位</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0353A63">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440" w:lineRule="exact"/>
        <w:ind w:left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4982F62F">
      <w:pPr>
        <w:pStyle w:val="2"/>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跟踪审计服务：</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257"/>
        <w:gridCol w:w="2026"/>
        <w:gridCol w:w="1342"/>
      </w:tblGrid>
      <w:tr w14:paraId="77D30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top"/>
          </w:tcPr>
          <w:p w14:paraId="6429FD2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序号</w:t>
            </w:r>
          </w:p>
        </w:tc>
        <w:tc>
          <w:tcPr>
            <w:tcW w:w="4257" w:type="dxa"/>
            <w:noWrap w:val="0"/>
            <w:vAlign w:val="top"/>
          </w:tcPr>
          <w:p w14:paraId="14DD7A8C">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项目</w:t>
            </w:r>
          </w:p>
        </w:tc>
        <w:tc>
          <w:tcPr>
            <w:tcW w:w="2026" w:type="dxa"/>
            <w:noWrap w:val="0"/>
            <w:vAlign w:val="top"/>
          </w:tcPr>
          <w:p w14:paraId="42609EA5">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中标金额（元）</w:t>
            </w:r>
          </w:p>
        </w:tc>
        <w:tc>
          <w:tcPr>
            <w:tcW w:w="1342" w:type="dxa"/>
            <w:noWrap w:val="0"/>
            <w:vAlign w:val="top"/>
          </w:tcPr>
          <w:p w14:paraId="2306887D">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备注</w:t>
            </w:r>
          </w:p>
        </w:tc>
      </w:tr>
      <w:tr w14:paraId="5D69C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center"/>
          </w:tcPr>
          <w:p w14:paraId="5F9FC826">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w:t>
            </w:r>
          </w:p>
        </w:tc>
        <w:tc>
          <w:tcPr>
            <w:tcW w:w="4257" w:type="dxa"/>
            <w:noWrap w:val="0"/>
            <w:vAlign w:val="center"/>
          </w:tcPr>
          <w:p w14:paraId="6E8C659E">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2024—45#</w:t>
            </w:r>
            <w:r>
              <w:rPr>
                <w:rFonts w:hint="eastAsia" w:ascii="仿宋_GB2312" w:hAnsi="仿宋_GB2312" w:eastAsia="仿宋_GB2312" w:cs="仿宋_GB2312"/>
                <w:color w:val="000000"/>
                <w:sz w:val="28"/>
                <w:szCs w:val="28"/>
                <w:u w:val="none"/>
                <w:lang w:val="en-US" w:eastAsia="zh-CN"/>
              </w:rPr>
              <w:t>江苏省盐城技师学院文港路校区雨污分流项目</w:t>
            </w:r>
          </w:p>
        </w:tc>
        <w:tc>
          <w:tcPr>
            <w:tcW w:w="2026" w:type="dxa"/>
            <w:shd w:val="clear" w:color="auto" w:fill="auto"/>
            <w:noWrap w:val="0"/>
            <w:vAlign w:val="center"/>
          </w:tcPr>
          <w:p w14:paraId="12BAE0B2">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8"/>
                <w:szCs w:val="28"/>
                <w:u w:val="none"/>
                <w:lang w:val="en-US" w:eastAsia="zh-CN" w:bidi="ar"/>
              </w:rPr>
              <w:t>2610750</w:t>
            </w:r>
          </w:p>
        </w:tc>
        <w:tc>
          <w:tcPr>
            <w:tcW w:w="1342" w:type="dxa"/>
            <w:noWrap w:val="0"/>
            <w:vAlign w:val="center"/>
          </w:tcPr>
          <w:p w14:paraId="08A564AE">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p>
        </w:tc>
      </w:tr>
    </w:tbl>
    <w:p w14:paraId="084E1A06">
      <w:pPr>
        <w:keepNext w:val="0"/>
        <w:keepLines w:val="0"/>
        <w:pageBreakBefore w:val="0"/>
        <w:widowControl w:val="0"/>
        <w:kinsoku/>
        <w:wordWrap/>
        <w:overflowPunct/>
        <w:topLinePunct w:val="0"/>
        <w:bidi w:val="0"/>
        <w:snapToGrid w:val="0"/>
        <w:spacing w:line="44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14:paraId="3541A06B">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负责对工程实施过程进行全过程造价跟踪审计，为采购人合理使用资金提供技术支持与服务。</w:t>
      </w:r>
    </w:p>
    <w:p w14:paraId="79690155">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主要工作</w:t>
      </w:r>
    </w:p>
    <w:p w14:paraId="1D890DC9">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1、对采购人、施工单位、监理单位的各项内控制度提出合理化建议和意见，完善建设项目现场管理制度，如工程签证管理、材料设备采购、价格控制、验收、领用、清点，设计变更管理制度等。</w:t>
      </w:r>
    </w:p>
    <w:p w14:paraId="2C9D8800">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2、检查该项目相关单位和部门的合同履行情况，检查有无违法转包、分包现象，重点检查：①工程进度。②合同实质条款内容发生变更时有无及时签订补充合同。③有无违法转包、分包现象，检查施工单位是否与合同单位一致。</w:t>
      </w:r>
    </w:p>
    <w:p w14:paraId="6ECE806E">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3、</w:t>
      </w:r>
      <w:r>
        <w:rPr>
          <w:rFonts w:hint="eastAsia" w:ascii="仿宋_GB2312" w:hAnsi="仿宋_GB2312" w:eastAsia="仿宋_GB2312" w:cs="仿宋_GB2312"/>
          <w:b/>
          <w:bCs/>
          <w:color w:val="000000"/>
          <w:kern w:val="2"/>
          <w:sz w:val="28"/>
          <w:szCs w:val="28"/>
          <w:highlight w:val="yellow"/>
          <w:lang w:val="en-US" w:eastAsia="zh-CN" w:bidi="ar-SA"/>
        </w:rPr>
        <w:t>与采购人成立联合审计组，制定并执行总体审计方案。每月初，提前一周通知采购人本次审计计划，包括审计内容、审计人员、审计时间，以及需要被审计各方提供的资料、文件。次月驻场跟踪审计时，对上月审计意见完成情况进行核查，形成闭环。每季度形成阶段性《审计情况报告》，报采购人。</w:t>
      </w:r>
    </w:p>
    <w:p w14:paraId="59143528">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4、积极配合采购人，控制、优化工程变更，根据工程用途及市场行情，提出建设性的优化方案。经常深入施工现场，掌握工程进展及变更的落实情况，为准确计量掌握真实资料。检查工程设计变更、施工现场签证手续是否合理、及时、完整、真实。参与工程造价控制的有关会议，参加工地监理例会，提出合理化建议，并收集整理相关会议记录。适时对施工现场进行查勘，核实有关设计变更及签证，及时了解工程情况并进行必要的拍照、摄像，留取证据，确保计量准确和审核完整真实。</w:t>
      </w:r>
    </w:p>
    <w:p w14:paraId="5468845A">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4、做好隐蔽工程的查看和验收，涉及造价增减的，要做到图片、文字资料齐全，及时办理确认手续并存档。</w:t>
      </w:r>
    </w:p>
    <w:p w14:paraId="42170A26">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5、参与特殊材料、设备的定价工作，并提出合理化建议。</w:t>
      </w:r>
    </w:p>
    <w:p w14:paraId="4FF2B532">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6、负责对施工单位上报的已完成工作量月报进行审核，并提供当月付款建议书；严格控制管理工程进度款支付审核，坚决杜绝工程款超付现象。</w:t>
      </w:r>
    </w:p>
    <w:p w14:paraId="0466295D">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7、按照合同约定，对索赔项目进行审核，合理合法的确认工程投资。各种确认资料及时办理，防止索赔事件的发生。现场资料日清月结，为工程月报的编制及工程现场动态成本控制分析提供准确数据。</w:t>
      </w:r>
    </w:p>
    <w:p w14:paraId="68B79543">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8、负责向采购人单位、施工单位、监理单位宣传跟踪审计的程序、内容及要求，最大限度地达到控制工程投资的目的。</w:t>
      </w:r>
    </w:p>
    <w:p w14:paraId="1A8BDD78">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9、及时核定分阶段完工的分部工程结算，提供完整跟踪审计报告。</w:t>
      </w:r>
    </w:p>
    <w:p w14:paraId="3B5703AC">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highlight w:val="none"/>
          <w:lang w:val="en-US" w:eastAsia="zh-CN" w:bidi="ar-SA"/>
        </w:rPr>
      </w:pPr>
      <w:r>
        <w:rPr>
          <w:rFonts w:hint="eastAsia" w:ascii="仿宋_GB2312" w:hAnsi="仿宋_GB2312" w:eastAsia="仿宋_GB2312" w:cs="仿宋_GB2312"/>
          <w:b/>
          <w:bCs/>
          <w:color w:val="000000"/>
          <w:kern w:val="2"/>
          <w:sz w:val="28"/>
          <w:szCs w:val="28"/>
          <w:highlight w:val="none"/>
          <w:lang w:val="en-US" w:eastAsia="zh-CN" w:bidi="ar-SA"/>
        </w:rPr>
        <w:t>10、及时核定分阶段完工的分部工程结算，</w:t>
      </w:r>
      <w:r>
        <w:rPr>
          <w:rFonts w:hint="default" w:ascii="仿宋_GB2312" w:hAnsi="仿宋_GB2312" w:eastAsia="仿宋_GB2312" w:cs="仿宋_GB2312"/>
          <w:b/>
          <w:bCs/>
          <w:color w:val="000000"/>
          <w:kern w:val="2"/>
          <w:sz w:val="28"/>
          <w:szCs w:val="28"/>
          <w:highlight w:val="none"/>
          <w:lang w:val="en-US" w:eastAsia="zh-CN" w:bidi="ar-SA"/>
        </w:rPr>
        <w:t>形成详细的跟踪审计</w:t>
      </w:r>
      <w:r>
        <w:rPr>
          <w:rFonts w:hint="eastAsia" w:ascii="仿宋_GB2312" w:hAnsi="仿宋_GB2312" w:eastAsia="仿宋_GB2312" w:cs="仿宋_GB2312"/>
          <w:b/>
          <w:bCs/>
          <w:color w:val="000000"/>
          <w:kern w:val="2"/>
          <w:sz w:val="28"/>
          <w:szCs w:val="28"/>
          <w:highlight w:val="none"/>
          <w:lang w:val="en-US" w:eastAsia="zh-CN" w:bidi="ar-SA"/>
        </w:rPr>
        <w:t>工作记录</w:t>
      </w:r>
      <w:r>
        <w:rPr>
          <w:rFonts w:hint="default" w:ascii="仿宋_GB2312" w:hAnsi="仿宋_GB2312" w:eastAsia="仿宋_GB2312" w:cs="仿宋_GB2312"/>
          <w:b/>
          <w:bCs/>
          <w:color w:val="000000"/>
          <w:kern w:val="2"/>
          <w:sz w:val="28"/>
          <w:szCs w:val="28"/>
          <w:highlight w:val="none"/>
          <w:lang w:val="en-US" w:eastAsia="zh-CN" w:bidi="ar-SA"/>
        </w:rPr>
        <w:t>，对工程建设各阶段的管理情况进行分析和评价，出具分阶段和最终跟踪审计报告</w:t>
      </w:r>
      <w:r>
        <w:rPr>
          <w:rFonts w:hint="eastAsia" w:ascii="仿宋_GB2312" w:hAnsi="仿宋_GB2312" w:eastAsia="仿宋_GB2312" w:cs="仿宋_GB2312"/>
          <w:b/>
          <w:bCs/>
          <w:color w:val="000000"/>
          <w:kern w:val="2"/>
          <w:sz w:val="28"/>
          <w:szCs w:val="28"/>
          <w:highlight w:val="none"/>
          <w:lang w:val="en-US" w:eastAsia="zh-CN" w:bidi="ar-SA"/>
        </w:rPr>
        <w:t>，并移交审计实施过程中所形成的全部纸质和电子工作底稿</w:t>
      </w:r>
      <w:r>
        <w:rPr>
          <w:rFonts w:hint="default" w:ascii="仿宋_GB2312" w:hAnsi="仿宋_GB2312" w:eastAsia="仿宋_GB2312" w:cs="仿宋_GB2312"/>
          <w:b/>
          <w:bCs/>
          <w:color w:val="000000"/>
          <w:kern w:val="2"/>
          <w:sz w:val="28"/>
          <w:szCs w:val="28"/>
          <w:highlight w:val="none"/>
          <w:lang w:val="en-US" w:eastAsia="zh-CN" w:bidi="ar-SA"/>
        </w:rPr>
        <w:t>。</w:t>
      </w:r>
    </w:p>
    <w:p w14:paraId="7630DDE0">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58616AB3">
      <w:pPr>
        <w:keepNext w:val="0"/>
        <w:keepLines w:val="0"/>
        <w:pageBreakBefore w:val="0"/>
        <w:widowControl w:val="0"/>
        <w:kinsoku/>
        <w:wordWrap/>
        <w:overflowPunct/>
        <w:topLinePunct w:val="0"/>
        <w:bidi w:val="0"/>
        <w:snapToGrid w:val="0"/>
        <w:spacing w:line="440" w:lineRule="exact"/>
        <w:ind w:firstLine="560" w:firstLineChars="200"/>
        <w:textAlignment w:val="auto"/>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22CFE719">
      <w:pPr>
        <w:keepNext w:val="0"/>
        <w:keepLines w:val="0"/>
        <w:pageBreakBefore w:val="0"/>
        <w:widowControl w:val="0"/>
        <w:kinsoku/>
        <w:wordWrap/>
        <w:overflowPunct/>
        <w:topLinePunct w:val="0"/>
        <w:bidi w:val="0"/>
        <w:snapToGrid w:val="0"/>
        <w:spacing w:line="44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hAnsi="Times New Roman" w:eastAsia="仿宋_GB2312" w:cs="仿宋_GB2312"/>
          <w:b/>
          <w:bCs/>
          <w:color w:val="000000"/>
          <w:sz w:val="28"/>
          <w:szCs w:val="28"/>
          <w:lang w:val="en-US" w:eastAsia="zh-CN"/>
        </w:rPr>
        <w:t>具备跟踪审计资质的独立法人。</w:t>
      </w:r>
    </w:p>
    <w:p w14:paraId="45F4739A">
      <w:pPr>
        <w:keepNext w:val="0"/>
        <w:keepLines w:val="0"/>
        <w:pageBreakBefore w:val="0"/>
        <w:widowControl w:val="0"/>
        <w:kinsoku/>
        <w:wordWrap/>
        <w:overflowPunct/>
        <w:topLinePunct w:val="0"/>
        <w:bidi w:val="0"/>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7E29CC98">
      <w:pPr>
        <w:keepNext w:val="0"/>
        <w:keepLines w:val="0"/>
        <w:pageBreakBefore w:val="0"/>
        <w:widowControl w:val="0"/>
        <w:kinsoku/>
        <w:wordWrap/>
        <w:overflowPunct/>
        <w:topLinePunct w:val="0"/>
        <w:bidi w:val="0"/>
        <w:snapToGrid w:val="0"/>
        <w:spacing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14:paraId="702C7431">
      <w:pPr>
        <w:keepNext w:val="0"/>
        <w:keepLines w:val="0"/>
        <w:pageBreakBefore w:val="0"/>
        <w:widowControl w:val="0"/>
        <w:kinsoku/>
        <w:wordWrap/>
        <w:overflowPunct/>
        <w:topLinePunct w:val="0"/>
        <w:bidi w:val="0"/>
        <w:snapToGrid w:val="0"/>
        <w:spacing w:line="44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服务</w:t>
      </w:r>
      <w:r>
        <w:rPr>
          <w:rFonts w:hint="eastAsia" w:ascii="黑体" w:hAnsi="黑体" w:eastAsia="黑体" w:cs="黑体"/>
          <w:b/>
          <w:bCs/>
          <w:color w:val="000000"/>
          <w:sz w:val="28"/>
          <w:szCs w:val="28"/>
        </w:rPr>
        <w:t>期限</w:t>
      </w:r>
    </w:p>
    <w:p w14:paraId="17F92610">
      <w:pPr>
        <w:keepNext w:val="0"/>
        <w:keepLines w:val="0"/>
        <w:pageBreakBefore w:val="0"/>
        <w:widowControl w:val="0"/>
        <w:kinsoku/>
        <w:wordWrap/>
        <w:overflowPunct/>
        <w:topLinePunct w:val="0"/>
        <w:bidi w:val="0"/>
        <w:snapToGrid w:val="0"/>
        <w:spacing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根据甲方要求进场跟踪审计</w:t>
      </w:r>
      <w:r>
        <w:rPr>
          <w:rFonts w:hint="eastAsia" w:ascii="仿宋_GB2312" w:eastAsia="仿宋_GB2312" w:cs="仿宋_GB2312"/>
          <w:color w:val="000000"/>
          <w:sz w:val="28"/>
          <w:szCs w:val="28"/>
        </w:rPr>
        <w:t>，</w:t>
      </w:r>
      <w:r>
        <w:rPr>
          <w:rFonts w:hint="eastAsia" w:ascii="仿宋_GB2312" w:hAnsi="仿宋_GB2312" w:eastAsia="仿宋_GB2312" w:cs="仿宋_GB2312"/>
          <w:b w:val="0"/>
          <w:bCs w:val="0"/>
          <w:color w:val="000000"/>
          <w:sz w:val="28"/>
          <w:szCs w:val="28"/>
          <w:vertAlign w:val="baseline"/>
          <w:lang w:val="en-US" w:eastAsia="zh-CN"/>
        </w:rPr>
        <w:t>江苏省盐城技师学院文港路校区雨污分流项目</w:t>
      </w:r>
      <w:r>
        <w:rPr>
          <w:rFonts w:hint="eastAsia" w:ascii="仿宋_GB2312" w:eastAsia="仿宋_GB2312" w:cs="仿宋_GB2312"/>
          <w:color w:val="000000"/>
          <w:sz w:val="28"/>
          <w:szCs w:val="28"/>
        </w:rPr>
        <w:t>经验收合格后付全款。</w:t>
      </w:r>
    </w:p>
    <w:p w14:paraId="34F5EE33">
      <w:pPr>
        <w:keepNext w:val="0"/>
        <w:keepLines w:val="0"/>
        <w:pageBreakBefore w:val="0"/>
        <w:widowControl w:val="0"/>
        <w:kinsoku/>
        <w:wordWrap/>
        <w:overflowPunct/>
        <w:topLinePunct w:val="0"/>
        <w:bidi w:val="0"/>
        <w:snapToGrid w:val="0"/>
        <w:spacing w:line="44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四、项目预算</w:t>
      </w:r>
    </w:p>
    <w:p w14:paraId="6B8A36BE">
      <w:pPr>
        <w:pStyle w:val="2"/>
        <w:keepNext w:val="0"/>
        <w:keepLines w:val="0"/>
        <w:pageBreakBefore w:val="0"/>
        <w:widowControl w:val="0"/>
        <w:kinsoku/>
        <w:wordWrap/>
        <w:overflowPunct/>
        <w:topLinePunct w:val="0"/>
        <w:bidi w:val="0"/>
        <w:adjustRightInd w:val="0"/>
        <w:snapToGrid w:val="0"/>
        <w:spacing w:after="0"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预算价为2万元</w:t>
      </w:r>
      <w:r>
        <w:rPr>
          <w:rFonts w:hint="eastAsia" w:ascii="仿宋_GB2312" w:hAnsi="仿宋_GB2312" w:eastAsia="仿宋_GB2312" w:cs="仿宋_GB2312"/>
          <w:color w:val="000000"/>
          <w:sz w:val="28"/>
          <w:szCs w:val="28"/>
          <w:lang w:val="en-US" w:eastAsia="zh-CN"/>
        </w:rPr>
        <w:t>，</w:t>
      </w:r>
      <w:r>
        <w:rPr>
          <w:rFonts w:hint="eastAsia" w:ascii="仿宋_GB2312" w:eastAsia="仿宋_GB2312" w:cs="仿宋_GB2312"/>
          <w:color w:val="000000"/>
          <w:sz w:val="28"/>
          <w:szCs w:val="28"/>
        </w:rPr>
        <w:t>超过</w:t>
      </w:r>
      <w:r>
        <w:rPr>
          <w:rFonts w:hint="eastAsia" w:ascii="仿宋_GB2312" w:eastAsia="仿宋_GB2312" w:cs="仿宋_GB2312"/>
          <w:color w:val="000000"/>
          <w:sz w:val="28"/>
          <w:szCs w:val="28"/>
          <w:lang w:eastAsia="zh-CN"/>
        </w:rPr>
        <w:t>预算</w:t>
      </w:r>
      <w:r>
        <w:rPr>
          <w:rFonts w:hint="eastAsia" w:ascii="仿宋_GB2312" w:eastAsia="仿宋_GB2312" w:cs="仿宋_GB2312"/>
          <w:color w:val="000000"/>
          <w:sz w:val="28"/>
          <w:szCs w:val="28"/>
        </w:rPr>
        <w:t>的报价为无效报价。</w:t>
      </w:r>
    </w:p>
    <w:p w14:paraId="509965F7">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61E54E46">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75ECB772">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0AA23018">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3A4CAC78">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55AE4A12">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437EC69B">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7C1B7DFF">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63603919">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、投标保证金及履约保证金</w:t>
      </w:r>
    </w:p>
    <w:p w14:paraId="76FFF7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14:paraId="39280BE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14:paraId="5AE27BEE">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112DB81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3C7A5AB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425FCA6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51969C6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11F72C8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5BE077F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547F436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4B48ADD1">
      <w:pPr>
        <w:keepNext w:val="0"/>
        <w:keepLines w:val="0"/>
        <w:pageBreakBefore w:val="0"/>
        <w:kinsoku/>
        <w:wordWrap/>
        <w:overflowPunct/>
        <w:topLinePunct w:val="0"/>
        <w:bidi w:val="0"/>
        <w:adjustRightInd w:val="0"/>
        <w:snapToGrid w:val="0"/>
        <w:spacing w:line="44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CCD875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获取了询价文件，而又决定不参加本次询价的投标人，（联系人：王老师，办公电话：0515—68661002），对于无故临时放弃的投标人，我校将根据情况将投标单位纳入招投标黑名单。对您的支持与配合，谨此致谢。</w:t>
      </w:r>
    </w:p>
    <w:p w14:paraId="474A295D">
      <w:pPr>
        <w:keepNext w:val="0"/>
        <w:keepLines w:val="0"/>
        <w:pageBreakBefore w:val="0"/>
        <w:widowControl w:val="0"/>
        <w:shd w:val="clear" w:color="auto" w:fill="FFFFFF"/>
        <w:kinsoku/>
        <w:wordWrap/>
        <w:overflowPunct/>
        <w:topLinePunct w:val="0"/>
        <w:autoSpaceDE/>
        <w:autoSpaceDN/>
        <w:bidi w:val="0"/>
        <w:adjustRightInd/>
        <w:snapToGrid/>
        <w:spacing w:line="44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14:paraId="49928B6D">
      <w:pPr>
        <w:keepNext w:val="0"/>
        <w:keepLines w:val="0"/>
        <w:pageBreakBefore w:val="0"/>
        <w:kinsoku/>
        <w:wordWrap/>
        <w:overflowPunct/>
        <w:topLinePunct w:val="0"/>
        <w:bidi w:val="0"/>
        <w:snapToGrid/>
        <w:spacing w:line="440" w:lineRule="exact"/>
        <w:ind w:firstLine="562" w:firstLineChars="200"/>
        <w:textAlignment w:val="auto"/>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1EE5E572">
      <w:pPr>
        <w:pStyle w:val="8"/>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宋体" w:hAnsi="宋体" w:eastAsia="宋体" w:cs="宋体"/>
          <w:i w:val="0"/>
          <w:iCs w:val="0"/>
          <w:caps w:val="0"/>
          <w:color w:val="000000"/>
          <w:spacing w:val="0"/>
          <w:sz w:val="27"/>
          <w:szCs w:val="27"/>
        </w:rPr>
      </w:pPr>
      <w:r>
        <w:rPr>
          <w:rFonts w:hint="eastAsia" w:ascii="仿宋_GB2312" w:hAnsi="仿宋_GB2312" w:eastAsia="仿宋_GB2312" w:cs="仿宋_GB2312"/>
          <w:color w:val="000000"/>
          <w:kern w:val="2"/>
          <w:sz w:val="28"/>
          <w:szCs w:val="28"/>
          <w:lang w:val="en-US" w:eastAsia="zh-CN" w:bidi="ar-SA"/>
        </w:rPr>
        <w:t>投标文件制作份数要求：正本份数：1份，副本份数：2份。</w:t>
      </w:r>
    </w:p>
    <w:p w14:paraId="2D60C74D">
      <w:pPr>
        <w:keepNext w:val="0"/>
        <w:keepLines w:val="0"/>
        <w:pageBreakBefore w:val="0"/>
        <w:kinsoku/>
        <w:wordWrap/>
        <w:overflowPunct/>
        <w:topLinePunct w:val="0"/>
        <w:bidi w:val="0"/>
        <w:snapToGrid/>
        <w:spacing w:line="44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59B314E9">
      <w:pPr>
        <w:pStyle w:val="12"/>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54931028">
      <w:pPr>
        <w:pStyle w:val="12"/>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C897B2">
      <w:pPr>
        <w:pStyle w:val="12"/>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14:paraId="198895EF">
      <w:pPr>
        <w:pStyle w:val="12"/>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14:paraId="5842DD6B">
      <w:pPr>
        <w:keepNext w:val="0"/>
        <w:keepLines w:val="0"/>
        <w:pageBreakBefore w:val="0"/>
        <w:kinsoku/>
        <w:wordWrap/>
        <w:overflowPunct/>
        <w:topLinePunct w:val="0"/>
        <w:bidi w:val="0"/>
        <w:spacing w:line="440" w:lineRule="exact"/>
        <w:jc w:val="righ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4</w:t>
      </w:r>
      <w:bookmarkStart w:id="0" w:name="_GoBack"/>
      <w:bookmarkEnd w:id="0"/>
      <w:r>
        <w:rPr>
          <w:rFonts w:hint="eastAsia" w:ascii="仿宋_GB2312" w:hAnsi="仿宋_GB2312" w:eastAsia="仿宋_GB2312" w:cs="仿宋_GB2312"/>
          <w:color w:val="000000"/>
          <w:sz w:val="28"/>
          <w:szCs w:val="28"/>
        </w:rPr>
        <w:t>日</w:t>
      </w:r>
    </w:p>
    <w:p w14:paraId="00364425">
      <w:pPr>
        <w:jc w:val="right"/>
        <w:rPr>
          <w:rFonts w:hint="eastAsia" w:ascii="仿宋_GB2312" w:hAnsi="仿宋_GB2312" w:eastAsia="仿宋_GB2312" w:cs="仿宋_GB2312"/>
          <w:color w:val="000000"/>
          <w:sz w:val="28"/>
          <w:szCs w:val="28"/>
        </w:rPr>
      </w:pPr>
    </w:p>
    <w:p w14:paraId="76D0C01E">
      <w:pPr>
        <w:jc w:val="right"/>
        <w:rPr>
          <w:rFonts w:hint="eastAsia" w:ascii="仿宋_GB2312" w:hAnsi="仿宋_GB2312" w:eastAsia="仿宋_GB2312" w:cs="仿宋_GB2312"/>
          <w:color w:val="000000"/>
          <w:sz w:val="28"/>
          <w:szCs w:val="28"/>
        </w:rPr>
      </w:pPr>
    </w:p>
    <w:p w14:paraId="57F2BA37">
      <w:pPr>
        <w:pStyle w:val="2"/>
        <w:ind w:left="0" w:leftChars="0" w:firstLine="0" w:firstLineChars="0"/>
        <w:rPr>
          <w:rFonts w:hint="eastAsia"/>
        </w:rPr>
      </w:pPr>
    </w:p>
    <w:p w14:paraId="582F2A20">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2D06F09C">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投标人名称（盖章）：</w:t>
      </w:r>
    </w:p>
    <w:tbl>
      <w:tblPr>
        <w:tblStyle w:val="9"/>
        <w:tblW w:w="9588" w:type="dxa"/>
        <w:jc w:val="center"/>
        <w:tblLayout w:type="fixed"/>
        <w:tblCellMar>
          <w:top w:w="0" w:type="dxa"/>
          <w:left w:w="108" w:type="dxa"/>
          <w:bottom w:w="0" w:type="dxa"/>
          <w:right w:w="108" w:type="dxa"/>
        </w:tblCellMar>
      </w:tblPr>
      <w:tblGrid>
        <w:gridCol w:w="2592"/>
        <w:gridCol w:w="4145"/>
        <w:gridCol w:w="2851"/>
      </w:tblGrid>
      <w:tr w14:paraId="213EE5EE">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9E0D775">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B5FFED5">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sz w:val="28"/>
                <w:szCs w:val="28"/>
                <w:lang w:val="en-US" w:eastAsia="zh-CN"/>
              </w:rPr>
              <w:t>投标报价</w:t>
            </w:r>
          </w:p>
        </w:tc>
        <w:tc>
          <w:tcPr>
            <w:tcW w:w="2851" w:type="dxa"/>
            <w:tcBorders>
              <w:top w:val="single" w:color="000000" w:sz="4" w:space="0"/>
              <w:left w:val="single" w:color="000000" w:sz="4" w:space="0"/>
              <w:bottom w:val="single" w:color="000000" w:sz="4" w:space="0"/>
              <w:right w:val="single" w:color="000000" w:sz="4" w:space="0"/>
            </w:tcBorders>
            <w:noWrap w:val="0"/>
            <w:vAlign w:val="center"/>
          </w:tcPr>
          <w:p w14:paraId="54CEBB29">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0A01FC97">
        <w:tblPrEx>
          <w:tblCellMar>
            <w:top w:w="0" w:type="dxa"/>
            <w:left w:w="108" w:type="dxa"/>
            <w:bottom w:w="0" w:type="dxa"/>
            <w:right w:w="108" w:type="dxa"/>
          </w:tblCellMar>
        </w:tblPrEx>
        <w:trPr>
          <w:trHeight w:val="1197"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3EF280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none"/>
                <w:lang w:val="en-US" w:eastAsia="zh-CN"/>
              </w:rPr>
              <w:t>江苏省盐城技师学院文港路校区雨污分流项目遴选跟踪审计单位</w:t>
            </w:r>
            <w:r>
              <w:rPr>
                <w:rFonts w:hint="eastAsia" w:ascii="仿宋_GB2312" w:hAnsi="仿宋_GB2312" w:eastAsia="仿宋_GB2312" w:cs="仿宋_GB2312"/>
                <w:color w:val="000000"/>
                <w:sz w:val="28"/>
                <w:szCs w:val="28"/>
                <w:u w:val="none"/>
                <w:lang w:eastAsia="zh-CN"/>
              </w:rPr>
              <w:t>项目</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C1D98F5">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大写：                     </w:t>
            </w:r>
          </w:p>
        </w:tc>
        <w:tc>
          <w:tcPr>
            <w:tcW w:w="2851" w:type="dxa"/>
            <w:vMerge w:val="restart"/>
            <w:tcBorders>
              <w:top w:val="single" w:color="000000" w:sz="4" w:space="0"/>
              <w:left w:val="single" w:color="000000" w:sz="4" w:space="0"/>
              <w:right w:val="single" w:color="000000" w:sz="4" w:space="0"/>
            </w:tcBorders>
            <w:noWrap w:val="0"/>
            <w:vAlign w:val="center"/>
          </w:tcPr>
          <w:p w14:paraId="6E079332">
            <w:pPr>
              <w:jc w:val="center"/>
              <w:rPr>
                <w:rFonts w:hint="eastAsia" w:ascii="仿宋_GB2312" w:hAnsi="仿宋_GB2312" w:eastAsia="仿宋_GB2312" w:cs="仿宋_GB2312"/>
                <w:b/>
                <w:bCs/>
                <w:color w:val="000000"/>
                <w:sz w:val="28"/>
                <w:szCs w:val="28"/>
                <w:lang w:eastAsia="zh-CN"/>
              </w:rPr>
            </w:pPr>
          </w:p>
        </w:tc>
      </w:tr>
      <w:tr w14:paraId="006B6840">
        <w:tblPrEx>
          <w:tblCellMar>
            <w:top w:w="0" w:type="dxa"/>
            <w:left w:w="108" w:type="dxa"/>
            <w:bottom w:w="0" w:type="dxa"/>
            <w:right w:w="108" w:type="dxa"/>
          </w:tblCellMar>
        </w:tblPrEx>
        <w:trPr>
          <w:trHeight w:val="1093"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3A111B2">
            <w:pPr>
              <w:rPr>
                <w:color w:val="000000"/>
              </w:rPr>
            </w:pPr>
          </w:p>
        </w:tc>
        <w:tc>
          <w:tcPr>
            <w:tcW w:w="4145"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1083C6D4">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eastAsia="Times New Roman" w:cs="仿宋_GB2312"/>
                <w:sz w:val="28"/>
                <w:szCs w:val="28"/>
              </w:rPr>
              <w:t xml:space="preserve"> </w:t>
            </w:r>
          </w:p>
        </w:tc>
        <w:tc>
          <w:tcPr>
            <w:tcW w:w="2851" w:type="dxa"/>
            <w:vMerge w:val="continue"/>
            <w:tcBorders>
              <w:left w:val="single" w:color="000000" w:sz="4" w:space="0"/>
              <w:bottom w:val="single" w:color="auto" w:sz="4" w:space="0"/>
              <w:right w:val="single" w:color="000000" w:sz="4" w:space="0"/>
            </w:tcBorders>
            <w:noWrap w:val="0"/>
            <w:vAlign w:val="top"/>
          </w:tcPr>
          <w:p w14:paraId="4065E193">
            <w:pPr>
              <w:rPr>
                <w:rFonts w:hint="eastAsia" w:ascii="仿宋_GB2312" w:hAnsi="仿宋_GB2312" w:eastAsia="仿宋_GB2312" w:cs="仿宋_GB2312"/>
                <w:color w:val="000000"/>
              </w:rPr>
            </w:pPr>
          </w:p>
        </w:tc>
      </w:tr>
      <w:tr w14:paraId="1C399DD1">
        <w:tblPrEx>
          <w:tblCellMar>
            <w:top w:w="0" w:type="dxa"/>
            <w:left w:w="108" w:type="dxa"/>
            <w:bottom w:w="0" w:type="dxa"/>
            <w:right w:w="108" w:type="dxa"/>
          </w:tblCellMar>
        </w:tblPrEx>
        <w:trPr>
          <w:trHeight w:val="1093" w:hRule="atLeast"/>
          <w:jc w:val="center"/>
        </w:trPr>
        <w:tc>
          <w:tcPr>
            <w:tcW w:w="259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3671CC2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跟踪审计负责人</w:t>
            </w:r>
          </w:p>
        </w:tc>
        <w:tc>
          <w:tcPr>
            <w:tcW w:w="6996"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0D9D2BE3">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0D045A65">
            <w:pPr>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lang w:val="en-US" w:eastAsia="zh-CN"/>
              </w:rPr>
              <w:t>职业证书编号：</w:t>
            </w:r>
          </w:p>
        </w:tc>
      </w:tr>
    </w:tbl>
    <w:p w14:paraId="15E50394">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val="en-US" w:eastAsia="zh-CN"/>
        </w:rPr>
        <w:t>跟踪审计</w:t>
      </w:r>
      <w:r>
        <w:rPr>
          <w:rFonts w:hint="eastAsia" w:ascii="仿宋_GB2312" w:hAnsi="仿宋_GB2312" w:eastAsia="仿宋_GB2312" w:cs="仿宋_GB2312"/>
          <w:b/>
          <w:bCs/>
          <w:color w:val="000000"/>
          <w:sz w:val="28"/>
          <w:szCs w:val="28"/>
          <w:lang w:eastAsia="zh-CN"/>
        </w:rPr>
        <w:t>费用、人工</w:t>
      </w:r>
      <w:r>
        <w:rPr>
          <w:rFonts w:hint="eastAsia" w:ascii="仿宋_GB2312" w:hAnsi="仿宋_GB2312" w:eastAsia="仿宋_GB2312" w:cs="仿宋_GB2312"/>
          <w:b/>
          <w:bCs/>
          <w:color w:val="000000"/>
          <w:sz w:val="28"/>
          <w:szCs w:val="28"/>
        </w:rPr>
        <w:t>、税金、保险等一切相关费用]所发生的人、材、机、管理、利润、税金等全部费用，表中的报价为总报价。</w:t>
      </w:r>
    </w:p>
    <w:p w14:paraId="4B744B04">
      <w:pPr>
        <w:spacing w:line="520" w:lineRule="exact"/>
        <w:ind w:firstLine="3840"/>
        <w:rPr>
          <w:rFonts w:hint="eastAsia" w:ascii="仿宋_GB2312" w:hAnsi="仿宋_GB2312" w:eastAsia="仿宋_GB2312" w:cs="仿宋_GB2312"/>
          <w:color w:val="000000"/>
          <w:sz w:val="32"/>
        </w:rPr>
      </w:pPr>
    </w:p>
    <w:p w14:paraId="39DAB3A2">
      <w:pPr>
        <w:spacing w:line="520" w:lineRule="exact"/>
        <w:ind w:firstLine="3840"/>
        <w:rPr>
          <w:rFonts w:hint="eastAsia" w:ascii="仿宋_GB2312" w:hAnsi="仿宋_GB2312" w:eastAsia="仿宋_GB2312" w:cs="仿宋_GB2312"/>
          <w:color w:val="000000"/>
          <w:sz w:val="32"/>
        </w:rPr>
      </w:pPr>
    </w:p>
    <w:p w14:paraId="70DBB781">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2DCEAD27">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0BAE40A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5B9D37C9">
      <w:pPr>
        <w:pStyle w:val="2"/>
        <w:adjustRightInd w:val="0"/>
        <w:snapToGrid w:val="0"/>
        <w:spacing w:line="460" w:lineRule="exact"/>
        <w:ind w:left="0" w:leftChars="0" w:firstLine="0" w:firstLineChars="0"/>
        <w:rPr>
          <w:rFonts w:hint="eastAsia" w:ascii="仿宋_GB2312" w:eastAsia="仿宋_GB2312" w:cs="仿宋_GB2312"/>
          <w:color w:val="000000"/>
          <w:sz w:val="28"/>
          <w:szCs w:val="28"/>
        </w:rPr>
      </w:pPr>
    </w:p>
    <w:p w14:paraId="20AC2B30">
      <w:pPr>
        <w:pStyle w:val="2"/>
        <w:ind w:firstLine="280"/>
        <w:rPr>
          <w:color w:val="000000"/>
          <w:sz w:val="28"/>
          <w:szCs w:val="28"/>
        </w:rPr>
      </w:pPr>
    </w:p>
    <w:p w14:paraId="63FF6365">
      <w:pPr>
        <w:pStyle w:val="2"/>
        <w:ind w:firstLine="280"/>
        <w:rPr>
          <w:color w:val="000000"/>
          <w:sz w:val="28"/>
          <w:szCs w:val="28"/>
        </w:rPr>
      </w:pPr>
    </w:p>
    <w:p w14:paraId="586F1B08">
      <w:pPr>
        <w:pStyle w:val="2"/>
        <w:ind w:firstLine="280"/>
        <w:rPr>
          <w:color w:val="000000"/>
          <w:sz w:val="28"/>
          <w:szCs w:val="28"/>
        </w:rPr>
      </w:pPr>
    </w:p>
    <w:p w14:paraId="7EB097F1">
      <w:pPr>
        <w:pStyle w:val="4"/>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0DCDDCCD">
      <w:pPr>
        <w:spacing w:line="360" w:lineRule="auto"/>
        <w:rPr>
          <w:rFonts w:ascii="仿宋_GB2312" w:hAnsi="仿宋_GB2312" w:eastAsia="仿宋_GB2312" w:cs="仿宋_GB2312"/>
          <w:b/>
          <w:color w:val="000000"/>
          <w:sz w:val="28"/>
          <w:szCs w:val="28"/>
        </w:rPr>
      </w:pPr>
    </w:p>
    <w:p w14:paraId="71780B28">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6189C62C">
      <w:pPr>
        <w:spacing w:line="360" w:lineRule="auto"/>
        <w:rPr>
          <w:rFonts w:ascii="仿宋_GB2312" w:hAnsi="仿宋_GB2312" w:eastAsia="仿宋_GB2312" w:cs="仿宋_GB2312"/>
          <w:color w:val="000000"/>
          <w:sz w:val="28"/>
          <w:szCs w:val="28"/>
        </w:rPr>
      </w:pPr>
    </w:p>
    <w:p w14:paraId="10CDE633">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2A07F2B3">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江苏省盐城技师学院文港路校区雨污分流项目遴选跟踪审计单位</w:t>
      </w:r>
      <w:r>
        <w:rPr>
          <w:rFonts w:hint="eastAsia" w:ascii="仿宋_GB2312" w:hAnsi="仿宋_GB2312" w:eastAsia="仿宋_GB2312" w:cs="仿宋_GB2312"/>
          <w:color w:val="000000"/>
          <w:sz w:val="28"/>
          <w:szCs w:val="28"/>
          <w:u w:val="single"/>
          <w:lang w:eastAsia="zh-CN"/>
        </w:rPr>
        <w:t>项目</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5188BCEC">
      <w:pPr>
        <w:spacing w:line="360" w:lineRule="auto"/>
        <w:rPr>
          <w:rFonts w:ascii="仿宋_GB2312" w:hAnsi="仿宋_GB2312" w:eastAsia="仿宋_GB2312" w:cs="仿宋_GB2312"/>
          <w:color w:val="000000"/>
          <w:sz w:val="28"/>
          <w:szCs w:val="28"/>
        </w:rPr>
      </w:pPr>
    </w:p>
    <w:p w14:paraId="04E737FF">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3A89ABA2">
      <w:pPr>
        <w:spacing w:line="360" w:lineRule="auto"/>
        <w:rPr>
          <w:rFonts w:ascii="仿宋_GB2312" w:hAnsi="仿宋_GB2312" w:eastAsia="仿宋_GB2312" w:cs="仿宋_GB2312"/>
          <w:color w:val="000000"/>
          <w:sz w:val="28"/>
          <w:szCs w:val="28"/>
        </w:rPr>
      </w:pPr>
    </w:p>
    <w:p w14:paraId="3992F77D">
      <w:pPr>
        <w:spacing w:line="360" w:lineRule="auto"/>
        <w:rPr>
          <w:rFonts w:ascii="仿宋_GB2312" w:hAnsi="仿宋_GB2312" w:eastAsia="仿宋_GB2312" w:cs="仿宋_GB2312"/>
          <w:color w:val="000000"/>
          <w:sz w:val="28"/>
          <w:szCs w:val="28"/>
        </w:rPr>
      </w:pPr>
    </w:p>
    <w:p w14:paraId="3CA7BF6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4A3023F9">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58DEACF9">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5CA01085">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105FD520">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44EFA611">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22F5D4C5">
      <w:pPr>
        <w:pStyle w:val="2"/>
        <w:rPr>
          <w:rFonts w:hint="eastAsia" w:ascii="仿宋_GB2312" w:hAnsi="仿宋_GB2312" w:eastAsia="仿宋_GB2312" w:cs="仿宋_GB2312"/>
          <w:color w:val="000000"/>
          <w:sz w:val="28"/>
          <w:szCs w:val="28"/>
        </w:rPr>
      </w:pPr>
    </w:p>
    <w:p w14:paraId="7CF85E17">
      <w:pPr>
        <w:pStyle w:val="5"/>
        <w:jc w:val="center"/>
        <w:rPr>
          <w:rFonts w:hint="eastAsia" w:ascii="宋体" w:hAnsi="宋体"/>
          <w:color w:val="000000"/>
          <w:sz w:val="28"/>
          <w:szCs w:val="28"/>
        </w:rPr>
      </w:pPr>
    </w:p>
    <w:p w14:paraId="06018BCD">
      <w:pPr>
        <w:pStyle w:val="5"/>
        <w:jc w:val="center"/>
        <w:rPr>
          <w:rFonts w:hint="eastAsia" w:ascii="宋体" w:hAnsi="宋体"/>
          <w:color w:val="000000"/>
          <w:sz w:val="28"/>
          <w:szCs w:val="28"/>
        </w:rPr>
      </w:pPr>
      <w:r>
        <w:rPr>
          <w:rFonts w:hint="eastAsia" w:ascii="宋体" w:hAnsi="宋体"/>
          <w:color w:val="000000"/>
          <w:sz w:val="28"/>
          <w:szCs w:val="28"/>
        </w:rPr>
        <w:t>法人授权书（格式）</w:t>
      </w:r>
    </w:p>
    <w:p w14:paraId="71FABF11">
      <w:pPr>
        <w:snapToGrid w:val="0"/>
        <w:spacing w:line="480" w:lineRule="auto"/>
        <w:ind w:firstLine="615"/>
        <w:rPr>
          <w:rFonts w:hint="eastAsia"/>
          <w:color w:val="000000"/>
          <w:sz w:val="24"/>
        </w:rPr>
      </w:pPr>
      <w:r>
        <w:rPr>
          <w:rFonts w:hint="eastAsia"/>
          <w:color w:val="000000"/>
          <w:sz w:val="24"/>
        </w:rPr>
        <w:t>本授权书声明：</w:t>
      </w:r>
      <w:r>
        <w:rPr>
          <w:rFonts w:hint="eastAsia"/>
          <w:color w:val="000000"/>
          <w:sz w:val="24"/>
          <w:lang w:val="en-US" w:eastAsia="zh-CN"/>
        </w:rPr>
        <w:t>__________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color w:val="000000"/>
          <w:sz w:val="24"/>
          <w:u w:val="single"/>
        </w:rPr>
        <w:t>__</w:t>
      </w:r>
      <w:r>
        <w:rPr>
          <w:rFonts w:hint="eastAsia"/>
          <w:color w:val="000000"/>
          <w:sz w:val="24"/>
          <w:u w:val="single"/>
        </w:rPr>
        <w:t xml:space="preserve"> </w:t>
      </w:r>
      <w:r>
        <w:rPr>
          <w:color w:val="000000"/>
          <w:sz w:val="24"/>
          <w:u w:val="single"/>
        </w:rPr>
        <w:t>____</w:t>
      </w:r>
      <w:r>
        <w:rPr>
          <w:rFonts w:hint="eastAsia"/>
          <w:color w:val="000000"/>
          <w:sz w:val="24"/>
          <w:u w:val="single"/>
        </w:rPr>
        <w:t xml:space="preserve"> </w:t>
      </w:r>
      <w:r>
        <w:rPr>
          <w:rFonts w:hint="eastAsia"/>
          <w:color w:val="000000"/>
          <w:sz w:val="24"/>
        </w:rPr>
        <w:t>(职务)为本公司的合法投标代表，就参加</w:t>
      </w:r>
      <w:r>
        <w:rPr>
          <w:rFonts w:hint="eastAsia" w:ascii="仿宋_GB2312" w:hAnsi="仿宋_GB2312" w:eastAsia="仿宋_GB2312" w:cs="仿宋_GB2312"/>
          <w:color w:val="000000"/>
          <w:sz w:val="24"/>
          <w:u w:val="single"/>
          <w:lang w:val="en-US" w:eastAsia="zh-CN"/>
        </w:rPr>
        <w:t>XJ2024147</w:t>
      </w:r>
      <w:r>
        <w:rPr>
          <w:rFonts w:hint="eastAsia"/>
          <w:color w:val="000000"/>
          <w:sz w:val="24"/>
        </w:rPr>
        <w:t>（编号）号标的内容的投标、签订合同以及合同的执行、完成和纠纷处理，以本公司名义处理一切与之有关的事务。</w:t>
      </w:r>
    </w:p>
    <w:p w14:paraId="7BBC1669">
      <w:pPr>
        <w:spacing w:line="480" w:lineRule="auto"/>
        <w:ind w:firstLine="645"/>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120FFA06">
      <w:pPr>
        <w:spacing w:line="480" w:lineRule="auto"/>
        <w:ind w:firstLine="720" w:firstLineChars="300"/>
        <w:rPr>
          <w:rFonts w:hint="eastAsia"/>
          <w:color w:val="000000"/>
          <w:sz w:val="24"/>
        </w:rPr>
      </w:pPr>
      <w:r>
        <w:rPr>
          <w:rFonts w:hint="eastAsia"/>
          <w:color w:val="000000"/>
          <w:sz w:val="24"/>
        </w:rPr>
        <w:t xml:space="preserve">法定代表人签字：                             </w:t>
      </w:r>
    </w:p>
    <w:p w14:paraId="21D7FD67">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A1D0813">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1FBBDD31">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4422D619">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535342D">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AC5C26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14EE881A">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D66064D">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4F4D489E">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0880785D">
      <w:pPr>
        <w:pStyle w:val="13"/>
        <w:ind w:firstLine="480"/>
        <w:rPr>
          <w:color w:val="000000"/>
          <w:sz w:val="24"/>
        </w:rPr>
      </w:pPr>
      <w:r>
        <w:rPr>
          <w:rFonts w:hint="eastAsia"/>
          <w:color w:val="000000"/>
          <w:sz w:val="24"/>
          <w:szCs w:val="24"/>
        </w:rPr>
        <w:t xml:space="preserve">      </w:t>
      </w:r>
    </w:p>
    <w:p w14:paraId="1FB66C60">
      <w:pPr>
        <w:pStyle w:val="2"/>
        <w:rPr>
          <w:rFonts w:hint="eastAsia" w:ascii="仿宋_GB2312" w:hAnsi="仿宋_GB2312" w:eastAsia="仿宋_GB2312" w:cs="仿宋_GB2312"/>
          <w:color w:val="000000"/>
          <w:sz w:val="28"/>
          <w:szCs w:val="28"/>
        </w:rPr>
      </w:pPr>
    </w:p>
    <w:p w14:paraId="471B068E">
      <w:pPr>
        <w:pStyle w:val="2"/>
        <w:ind w:firstLine="0" w:firstLineChars="0"/>
        <w:rPr>
          <w:rFonts w:hint="eastAsia" w:ascii="仿宋_GB2312" w:hAnsi="仿宋_GB2312" w:eastAsia="仿宋_GB2312" w:cs="仿宋_GB2312"/>
          <w:color w:val="000000"/>
          <w:sz w:val="28"/>
          <w:szCs w:val="28"/>
        </w:rPr>
      </w:pPr>
    </w:p>
    <w:p w14:paraId="461A73CF">
      <w:pPr>
        <w:pStyle w:val="2"/>
        <w:ind w:firstLine="0" w:firstLineChars="0"/>
        <w:rPr>
          <w:rFonts w:hint="eastAsia" w:ascii="仿宋_GB2312" w:hAnsi="仿宋_GB2312" w:eastAsia="仿宋_GB2312" w:cs="仿宋_GB2312"/>
          <w:color w:val="000000"/>
          <w:sz w:val="28"/>
          <w:szCs w:val="28"/>
        </w:rPr>
      </w:pPr>
    </w:p>
    <w:p w14:paraId="363684C2">
      <w:pPr>
        <w:pStyle w:val="2"/>
        <w:ind w:firstLine="0" w:firstLineChars="0"/>
        <w:rPr>
          <w:rFonts w:hint="eastAsia" w:ascii="仿宋_GB2312" w:hAnsi="仿宋_GB2312" w:eastAsia="仿宋_GB2312" w:cs="仿宋_GB2312"/>
          <w:color w:val="000000"/>
          <w:sz w:val="28"/>
          <w:szCs w:val="28"/>
        </w:rPr>
      </w:pPr>
    </w:p>
    <w:p w14:paraId="068AE7EB">
      <w:pPr>
        <w:pStyle w:val="2"/>
        <w:ind w:firstLine="0" w:firstLineChars="0"/>
        <w:rPr>
          <w:rFonts w:hint="eastAsia" w:ascii="仿宋_GB2312" w:hAnsi="仿宋_GB2312" w:eastAsia="仿宋_GB2312" w:cs="仿宋_GB2312"/>
          <w:color w:val="000000"/>
          <w:sz w:val="28"/>
          <w:szCs w:val="28"/>
        </w:rPr>
      </w:pPr>
    </w:p>
    <w:p w14:paraId="7C8C911C">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2ADE3F5F">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B314D60">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0FCB37CC">
      <w:pPr>
        <w:spacing w:line="460" w:lineRule="exact"/>
        <w:rPr>
          <w:rFonts w:hint="eastAsia" w:ascii="宋体" w:hAnsi="宋体"/>
          <w:b/>
          <w:bCs/>
          <w:color w:val="000000"/>
          <w:sz w:val="44"/>
          <w:szCs w:val="44"/>
        </w:rPr>
      </w:pPr>
    </w:p>
    <w:p w14:paraId="30CB5D0C">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373A9A62">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4166E413">
      <w:pPr>
        <w:spacing w:line="460" w:lineRule="exact"/>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u w:val="none"/>
        </w:rPr>
        <w:t>__________________</w:t>
      </w:r>
    </w:p>
    <w:p w14:paraId="3E700FA6">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w:t>
      </w:r>
      <w:r>
        <w:rPr>
          <w:rFonts w:hint="eastAsia" w:ascii="宋体" w:hAnsi="宋体"/>
          <w:bCs/>
          <w:color w:val="000000"/>
          <w:sz w:val="24"/>
          <w:lang w:val="en-US" w:eastAsia="zh-CN"/>
        </w:rPr>
        <w:t xml:space="preserve">        </w:t>
      </w:r>
      <w:r>
        <w:rPr>
          <w:rFonts w:hint="eastAsia" w:ascii="宋体" w:hAnsi="宋体"/>
          <w:bCs/>
          <w:color w:val="000000"/>
          <w:sz w:val="24"/>
        </w:rPr>
        <w:t>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43C0DB0E">
      <w:pPr>
        <w:pStyle w:val="2"/>
        <w:ind w:firstLine="210"/>
        <w:rPr>
          <w:lang w:val="zh-TW"/>
        </w:rPr>
      </w:pPr>
    </w:p>
    <w:p w14:paraId="59E84CB2">
      <w:pPr>
        <w:pStyle w:val="2"/>
        <w:ind w:firstLine="210"/>
        <w:rPr>
          <w:lang w:val="zh-TW"/>
        </w:rPr>
      </w:pPr>
    </w:p>
    <w:p w14:paraId="684A6941">
      <w:pPr>
        <w:pStyle w:val="2"/>
        <w:ind w:firstLine="210"/>
        <w:rPr>
          <w:lang w:val="zh-TW"/>
        </w:rPr>
      </w:pPr>
    </w:p>
    <w:p w14:paraId="5CC5C078">
      <w:pPr>
        <w:pStyle w:val="2"/>
        <w:ind w:firstLine="210"/>
        <w:rPr>
          <w:lang w:val="zh-TW"/>
        </w:rPr>
      </w:pPr>
    </w:p>
    <w:p w14:paraId="57D029AC">
      <w:pPr>
        <w:pStyle w:val="2"/>
        <w:ind w:firstLine="210"/>
        <w:rPr>
          <w:lang w:val="zh-TW"/>
        </w:rPr>
      </w:pPr>
    </w:p>
    <w:p w14:paraId="5958B2C0">
      <w:pPr>
        <w:pStyle w:val="2"/>
        <w:ind w:firstLine="210"/>
        <w:rPr>
          <w:lang w:val="zh-TW"/>
        </w:rPr>
      </w:pPr>
    </w:p>
    <w:p w14:paraId="261C9ACD">
      <w:pPr>
        <w:pStyle w:val="2"/>
        <w:ind w:firstLine="210"/>
        <w:rPr>
          <w:lang w:val="zh-TW"/>
        </w:rPr>
      </w:pPr>
    </w:p>
    <w:p w14:paraId="1A2FB571">
      <w:pPr>
        <w:pStyle w:val="2"/>
        <w:ind w:firstLine="210"/>
        <w:rPr>
          <w:lang w:val="zh-TW"/>
        </w:rPr>
      </w:pPr>
    </w:p>
    <w:p w14:paraId="15373312">
      <w:pPr>
        <w:pStyle w:val="2"/>
        <w:ind w:firstLine="210"/>
        <w:rPr>
          <w:lang w:val="zh-TW"/>
        </w:rPr>
      </w:pPr>
    </w:p>
    <w:p w14:paraId="3353F408">
      <w:pPr>
        <w:pStyle w:val="2"/>
        <w:ind w:firstLine="210"/>
        <w:rPr>
          <w:lang w:val="zh-TW"/>
        </w:rPr>
      </w:pPr>
    </w:p>
    <w:p w14:paraId="39FB3635">
      <w:pPr>
        <w:pStyle w:val="2"/>
        <w:ind w:firstLine="210"/>
        <w:rPr>
          <w:lang w:val="zh-TW"/>
        </w:rPr>
      </w:pPr>
    </w:p>
    <w:p w14:paraId="3C6FC8D0">
      <w:pPr>
        <w:pStyle w:val="2"/>
        <w:ind w:firstLine="210"/>
        <w:rPr>
          <w:lang w:val="zh-TW"/>
        </w:rPr>
      </w:pPr>
    </w:p>
    <w:p w14:paraId="529A87CC">
      <w:pPr>
        <w:pStyle w:val="2"/>
        <w:ind w:firstLine="210"/>
        <w:rPr>
          <w:lang w:val="zh-TW"/>
        </w:rPr>
      </w:pPr>
    </w:p>
    <w:p w14:paraId="0BD1453A">
      <w:pPr>
        <w:pStyle w:val="2"/>
        <w:ind w:firstLine="210"/>
        <w:rPr>
          <w:lang w:val="zh-TW"/>
        </w:rPr>
      </w:pPr>
    </w:p>
    <w:p w14:paraId="5E039610">
      <w:pPr>
        <w:pStyle w:val="2"/>
        <w:ind w:firstLine="210"/>
        <w:rPr>
          <w:lang w:val="zh-TW"/>
        </w:rPr>
      </w:pPr>
    </w:p>
    <w:p w14:paraId="0CB0607A">
      <w:pPr>
        <w:pStyle w:val="2"/>
        <w:ind w:firstLine="210"/>
        <w:rPr>
          <w:lang w:val="zh-TW"/>
        </w:rPr>
      </w:pPr>
    </w:p>
    <w:p w14:paraId="22998304">
      <w:pPr>
        <w:pStyle w:val="2"/>
        <w:ind w:firstLine="210"/>
        <w:rPr>
          <w:lang w:val="zh-TW"/>
        </w:rPr>
      </w:pPr>
    </w:p>
    <w:p w14:paraId="3E4F726D">
      <w:pPr>
        <w:rPr>
          <w:lang w:val="zh-TW"/>
        </w:rPr>
      </w:pPr>
    </w:p>
    <w:p w14:paraId="6918CF3E">
      <w:pPr>
        <w:pStyle w:val="2"/>
        <w:rPr>
          <w:lang w:val="zh-TW"/>
        </w:rPr>
      </w:pPr>
    </w:p>
    <w:p w14:paraId="745059B2">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6081E332">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64265676">
      <w:pPr>
        <w:spacing w:line="460" w:lineRule="exact"/>
        <w:ind w:firstLine="492"/>
        <w:rPr>
          <w:rFonts w:hint="eastAsia" w:ascii="宋体" w:hAnsi="宋体"/>
          <w:bCs/>
          <w:sz w:val="24"/>
        </w:rPr>
      </w:pPr>
      <w:r>
        <w:rPr>
          <w:rFonts w:hint="eastAsia" w:ascii="宋体" w:hAnsi="宋体"/>
          <w:bCs/>
          <w:sz w:val="24"/>
        </w:rPr>
        <w:t>主要设备有：  。</w:t>
      </w:r>
    </w:p>
    <w:p w14:paraId="6AA89548">
      <w:pPr>
        <w:spacing w:line="460" w:lineRule="exact"/>
        <w:ind w:firstLine="492"/>
        <w:rPr>
          <w:rFonts w:hint="eastAsia" w:ascii="宋体" w:hAnsi="宋体"/>
          <w:bCs/>
          <w:sz w:val="24"/>
        </w:rPr>
      </w:pPr>
      <w:r>
        <w:rPr>
          <w:rFonts w:hint="eastAsia" w:ascii="宋体" w:hAnsi="宋体"/>
          <w:bCs/>
          <w:sz w:val="24"/>
        </w:rPr>
        <w:t>主要专业技术能力有：   。</w:t>
      </w:r>
    </w:p>
    <w:p w14:paraId="5CA736B6">
      <w:pPr>
        <w:spacing w:line="460" w:lineRule="exact"/>
        <w:rPr>
          <w:rFonts w:hint="eastAsia" w:ascii="宋体" w:hAnsi="宋体"/>
          <w:bCs/>
          <w:sz w:val="24"/>
        </w:rPr>
      </w:pPr>
      <w:r>
        <w:rPr>
          <w:rFonts w:hint="eastAsia" w:ascii="宋体" w:hAnsi="宋体"/>
          <w:bCs/>
          <w:sz w:val="24"/>
        </w:rPr>
        <w:t xml:space="preserve">                                      供应商名称（公章）：</w:t>
      </w:r>
    </w:p>
    <w:p w14:paraId="4ADD0BF3">
      <w:pPr>
        <w:spacing w:line="460" w:lineRule="exact"/>
        <w:rPr>
          <w:rFonts w:hint="eastAsia" w:ascii="宋体" w:hAnsi="宋体"/>
          <w:bCs/>
          <w:sz w:val="24"/>
        </w:rPr>
      </w:pPr>
      <w:r>
        <w:rPr>
          <w:rFonts w:hint="eastAsia" w:ascii="宋体" w:hAnsi="宋体"/>
          <w:bCs/>
          <w:sz w:val="24"/>
        </w:rPr>
        <w:t xml:space="preserve">                                     </w:t>
      </w:r>
    </w:p>
    <w:p w14:paraId="7C22D8BC">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5B519FDE">
      <w:pPr>
        <w:pStyle w:val="2"/>
        <w:ind w:left="0" w:leftChars="0" w:firstLine="0" w:firstLineChars="0"/>
        <w:rPr>
          <w:lang w:val="zh-TW"/>
        </w:rPr>
      </w:pPr>
    </w:p>
    <w:p w14:paraId="2C299478">
      <w:pPr>
        <w:pStyle w:val="2"/>
        <w:ind w:firstLine="0" w:firstLineChars="0"/>
        <w:rPr>
          <w:rFonts w:hint="eastAsia" w:ascii="仿宋_GB2312" w:hAnsi="仿宋_GB2312" w:eastAsia="仿宋_GB2312" w:cs="仿宋_GB2312"/>
          <w:color w:val="000000"/>
          <w:sz w:val="28"/>
          <w:szCs w:val="28"/>
        </w:rPr>
      </w:pPr>
    </w:p>
    <w:p w14:paraId="5135AE7E">
      <w:pPr>
        <w:rPr>
          <w:rFonts w:hint="eastAsia"/>
        </w:rPr>
      </w:pPr>
    </w:p>
    <w:p w14:paraId="060F392E"/>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46BB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EEC8FAA">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EEC8FAA">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0172A27"/>
    <w:rsid w:val="001C1DFD"/>
    <w:rsid w:val="02FA6488"/>
    <w:rsid w:val="0C54536A"/>
    <w:rsid w:val="14CA5068"/>
    <w:rsid w:val="1D692943"/>
    <w:rsid w:val="29215311"/>
    <w:rsid w:val="297178A3"/>
    <w:rsid w:val="29B709FB"/>
    <w:rsid w:val="2C687786"/>
    <w:rsid w:val="33F80023"/>
    <w:rsid w:val="402C6F40"/>
    <w:rsid w:val="47893ACF"/>
    <w:rsid w:val="50893782"/>
    <w:rsid w:val="50D21A70"/>
    <w:rsid w:val="50E41479"/>
    <w:rsid w:val="511E33DD"/>
    <w:rsid w:val="6942733B"/>
    <w:rsid w:val="6E9F56E1"/>
    <w:rsid w:val="71AE3574"/>
    <w:rsid w:val="72FC1FAF"/>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ind w:firstLine="200" w:firstLineChars="200"/>
    </w:pPr>
    <w:rPr>
      <w:sz w:val="28"/>
      <w:szCs w:val="30"/>
    </w:rPr>
  </w:style>
  <w:style w:type="character" w:customStyle="1" w:styleId="14">
    <w:name w:val="font71"/>
    <w:basedOn w:val="11"/>
    <w:qFormat/>
    <w:uiPriority w:val="0"/>
    <w:rPr>
      <w:rFonts w:hint="eastAsia" w:ascii="宋体" w:hAnsi="宋体" w:eastAsia="宋体" w:cs="宋体"/>
      <w:color w:val="000000"/>
      <w:sz w:val="18"/>
      <w:szCs w:val="18"/>
      <w:u w:val="none"/>
    </w:rPr>
  </w:style>
  <w:style w:type="character" w:customStyle="1" w:styleId="15">
    <w:name w:val="font141"/>
    <w:basedOn w:val="11"/>
    <w:qFormat/>
    <w:uiPriority w:val="0"/>
    <w:rPr>
      <w:rFonts w:hint="eastAsia" w:ascii="宋体" w:hAnsi="宋体" w:eastAsia="宋体" w:cs="宋体"/>
      <w:color w:val="000000"/>
      <w:sz w:val="18"/>
      <w:szCs w:val="18"/>
      <w:u w:val="none"/>
      <w:vertAlign w:val="superscript"/>
    </w:rPr>
  </w:style>
  <w:style w:type="character" w:customStyle="1" w:styleId="16">
    <w:name w:val="font21"/>
    <w:basedOn w:val="11"/>
    <w:qFormat/>
    <w:uiPriority w:val="0"/>
    <w:rPr>
      <w:rFonts w:hint="eastAsia" w:ascii="宋体" w:hAnsi="宋体" w:eastAsia="宋体" w:cs="宋体"/>
      <w:b/>
      <w:bCs/>
      <w:color w:val="000000"/>
      <w:sz w:val="28"/>
      <w:szCs w:val="28"/>
      <w:u w:val="single"/>
    </w:rPr>
  </w:style>
  <w:style w:type="character" w:customStyle="1" w:styleId="17">
    <w:name w:val="font31"/>
    <w:basedOn w:val="11"/>
    <w:qFormat/>
    <w:uiPriority w:val="0"/>
    <w:rPr>
      <w:rFonts w:hint="eastAsia" w:ascii="宋体" w:hAnsi="宋体" w:eastAsia="宋体" w:cs="宋体"/>
      <w:b/>
      <w:bCs/>
      <w:color w:val="000000"/>
      <w:sz w:val="28"/>
      <w:szCs w:val="28"/>
      <w:u w:val="none"/>
    </w:rPr>
  </w:style>
  <w:style w:type="character" w:customStyle="1" w:styleId="18">
    <w:name w:val="font91"/>
    <w:basedOn w:val="11"/>
    <w:qFormat/>
    <w:uiPriority w:val="0"/>
    <w:rPr>
      <w:rFonts w:hint="eastAsia" w:ascii="宋体" w:hAnsi="宋体" w:eastAsia="宋体" w:cs="宋体"/>
      <w:color w:val="000000"/>
      <w:sz w:val="18"/>
      <w:szCs w:val="18"/>
      <w:u w:val="none"/>
    </w:rPr>
  </w:style>
  <w:style w:type="character" w:customStyle="1" w:styleId="19">
    <w:name w:val="font161"/>
    <w:basedOn w:val="11"/>
    <w:qFormat/>
    <w:uiPriority w:val="0"/>
    <w:rPr>
      <w:rFonts w:hint="eastAsia" w:ascii="宋体" w:hAnsi="宋体" w:eastAsia="宋体" w:cs="宋体"/>
      <w:color w:val="000000"/>
      <w:sz w:val="18"/>
      <w:szCs w:val="18"/>
      <w:u w:val="none"/>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3530</Words>
  <Characters>3724</Characters>
  <Lines>0</Lines>
  <Paragraphs>0</Paragraphs>
  <TotalTime>3</TotalTime>
  <ScaleCrop>false</ScaleCrop>
  <LinksUpToDate>false</LinksUpToDate>
  <CharactersWithSpaces>4556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2024-10-28T00:30:00Z</dcterms:created>
  <dc:creator>小壮</dc:creator>
  <cp:lastModifiedBy>小壮</cp:lastModifiedBy>
  <cp:lastPrinted>2024-10-31T00:44:00Z</cp:lastPrinted>
  <dcterms:modified xsi:type="dcterms:W3CDTF">2024-11-05T00:42:46Z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8492BB7DA90A497EBE3A330B534865B9_11</vt:lpwstr>
  </property>
</Properties>
</file>