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245E69">
      <w:pPr>
        <w:tabs>
          <w:tab w:val="left" w:pos="2600"/>
        </w:tabs>
        <w:spacing w:before="156" w:beforeLines="50" w:after="156" w:afterLines="50"/>
        <w:jc w:val="center"/>
        <w:rPr>
          <w:rFonts w:ascii="宋体" w:hAnsi="宋体"/>
          <w:color w:val="000000"/>
          <w:sz w:val="44"/>
        </w:rPr>
      </w:pPr>
      <w:r>
        <w:rPr>
          <w:rFonts w:hint="eastAsia" w:ascii="宋体" w:hAnsi="宋体"/>
          <w:color w:val="000000"/>
          <w:sz w:val="44"/>
          <w:lang w:eastAsia="zh-CN"/>
        </w:rPr>
        <w:t>招标</w:t>
      </w:r>
      <w:r>
        <w:rPr>
          <w:rFonts w:hint="eastAsia" w:ascii="宋体" w:hAnsi="宋体"/>
          <w:color w:val="000000"/>
          <w:sz w:val="44"/>
        </w:rPr>
        <w:t>公告</w:t>
      </w:r>
    </w:p>
    <w:p w14:paraId="42950BF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仿宋_GB2312"/>
          <w:color w:val="000000"/>
          <w:sz w:val="28"/>
          <w:szCs w:val="28"/>
        </w:rPr>
      </w:pPr>
      <w:r>
        <w:rPr>
          <w:rFonts w:hint="eastAsia" w:ascii="宋体" w:hAnsi="宋体" w:cs="仿宋_GB2312"/>
          <w:color w:val="000000"/>
          <w:sz w:val="28"/>
          <w:szCs w:val="28"/>
        </w:rPr>
        <w:t>根据《中华人民共和国招投标法》、《中华人民共和国政府采购法》等法律、法规的规定，现就</w:t>
      </w:r>
      <w:r>
        <w:rPr>
          <w:rFonts w:hint="eastAsia" w:ascii="宋体" w:hAnsi="宋体" w:cs="仿宋_GB2312"/>
          <w:color w:val="000000"/>
          <w:sz w:val="28"/>
          <w:szCs w:val="28"/>
          <w:u w:val="single"/>
          <w:lang w:eastAsia="zh-CN"/>
        </w:rPr>
        <w:t>202</w:t>
      </w:r>
      <w:r>
        <w:rPr>
          <w:rFonts w:hint="eastAsia" w:ascii="宋体" w:hAnsi="宋体" w:cs="仿宋_GB2312"/>
          <w:color w:val="000000"/>
          <w:sz w:val="28"/>
          <w:szCs w:val="28"/>
          <w:u w:val="single"/>
          <w:lang w:val="en-US" w:eastAsia="zh-CN"/>
        </w:rPr>
        <w:t>4</w:t>
      </w:r>
      <w:r>
        <w:rPr>
          <w:rFonts w:hint="eastAsia" w:ascii="宋体" w:hAnsi="宋体" w:cs="仿宋_GB2312"/>
          <w:color w:val="000000"/>
          <w:sz w:val="28"/>
          <w:szCs w:val="28"/>
          <w:u w:val="single"/>
          <w:lang w:eastAsia="zh-CN"/>
        </w:rPr>
        <w:t>年食堂食品原材料集中采购</w:t>
      </w:r>
      <w:r>
        <w:rPr>
          <w:rFonts w:hint="eastAsia" w:ascii="宋体" w:hAnsi="宋体" w:cs="仿宋_GB2312"/>
          <w:color w:val="000000"/>
          <w:sz w:val="28"/>
          <w:szCs w:val="28"/>
          <w:u w:val="single"/>
          <w:lang w:val="zh-TW"/>
        </w:rPr>
        <w:t>项目</w:t>
      </w:r>
      <w:r>
        <w:rPr>
          <w:rFonts w:hint="eastAsia" w:ascii="宋体" w:hAnsi="宋体" w:cs="仿宋_GB2312"/>
          <w:color w:val="000000"/>
          <w:sz w:val="28"/>
          <w:szCs w:val="28"/>
          <w:u w:val="single"/>
          <w:lang w:val="zh-TW" w:eastAsia="zh-CN"/>
        </w:rPr>
        <w:t>（二次）</w:t>
      </w:r>
      <w:r>
        <w:rPr>
          <w:rFonts w:hint="eastAsia" w:ascii="宋体" w:hAnsi="宋体" w:cs="仿宋_GB2312"/>
          <w:color w:val="000000"/>
          <w:sz w:val="28"/>
          <w:szCs w:val="28"/>
        </w:rPr>
        <w:t>进行</w:t>
      </w:r>
      <w:r>
        <w:rPr>
          <w:rFonts w:hint="eastAsia" w:ascii="宋体" w:hAnsi="宋体" w:cs="仿宋_GB2312"/>
          <w:color w:val="000000"/>
          <w:sz w:val="28"/>
          <w:szCs w:val="28"/>
          <w:u w:val="single"/>
          <w:lang w:eastAsia="zh-CN"/>
        </w:rPr>
        <w:t>公开招标</w:t>
      </w:r>
      <w:r>
        <w:rPr>
          <w:rFonts w:hint="eastAsia" w:ascii="宋体" w:hAnsi="宋体" w:cs="仿宋_GB2312"/>
          <w:color w:val="000000"/>
          <w:sz w:val="28"/>
          <w:szCs w:val="28"/>
        </w:rPr>
        <w:t>采购，欢迎符合资格的投标人参加投标。</w:t>
      </w:r>
    </w:p>
    <w:p w14:paraId="0B4950EF">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ascii="宋体" w:hAnsi="宋体" w:cs="黑体"/>
          <w:b/>
          <w:bCs/>
          <w:color w:val="000000"/>
          <w:sz w:val="28"/>
          <w:szCs w:val="28"/>
        </w:rPr>
      </w:pPr>
      <w:r>
        <w:rPr>
          <w:rFonts w:hint="eastAsia" w:ascii="宋体" w:hAnsi="宋体" w:cs="黑体"/>
          <w:b/>
          <w:bCs/>
          <w:color w:val="000000"/>
          <w:sz w:val="28"/>
          <w:szCs w:val="28"/>
        </w:rPr>
        <w:t>一、招标项目</w:t>
      </w:r>
    </w:p>
    <w:p w14:paraId="23BDF057">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1.基本情况</w:t>
      </w:r>
    </w:p>
    <w:p w14:paraId="140F462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江苏省盐城技师学院共有师生员工15000人左右，学校实行半封闭管理，设有文港中路、海洋路校区两个校区共5个学生餐厅，2个教工餐厅。</w:t>
      </w:r>
    </w:p>
    <w:p w14:paraId="22EE5915">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2.具体项目</w:t>
      </w:r>
    </w:p>
    <w:p w14:paraId="54563D6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rPr>
        <w:t>食品原材</w:t>
      </w:r>
      <w:r>
        <w:rPr>
          <w:rFonts w:hint="eastAsia" w:ascii="仿宋" w:hAnsi="仿宋" w:eastAsia="仿宋" w:cs="仿宋"/>
          <w:sz w:val="28"/>
          <w:szCs w:val="28"/>
          <w:highlight w:val="none"/>
        </w:rPr>
        <w:t>料：包括大米</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含面粉）</w:t>
      </w:r>
      <w:r>
        <w:rPr>
          <w:rFonts w:hint="eastAsia" w:ascii="仿宋" w:hAnsi="仿宋" w:eastAsia="仿宋" w:cs="仿宋"/>
          <w:sz w:val="28"/>
          <w:szCs w:val="28"/>
          <w:highlight w:val="none"/>
        </w:rPr>
        <w:t>、食用油</w:t>
      </w:r>
      <w:r>
        <w:rPr>
          <w:rFonts w:hint="eastAsia" w:ascii="仿宋" w:hAnsi="仿宋" w:eastAsia="仿宋" w:cs="仿宋"/>
          <w:sz w:val="28"/>
          <w:szCs w:val="28"/>
          <w:highlight w:val="none"/>
          <w:lang w:eastAsia="zh-CN"/>
        </w:rPr>
        <w:t>（</w:t>
      </w:r>
      <w:r>
        <w:rPr>
          <w:rFonts w:hint="eastAsia" w:ascii="仿宋" w:hAnsi="仿宋" w:eastAsia="仿宋" w:cs="仿宋"/>
          <w:bCs/>
          <w:sz w:val="28"/>
          <w:szCs w:val="28"/>
          <w:highlight w:val="none"/>
        </w:rPr>
        <w:t>非转基因</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、猪肉、鸡蛋、冻品</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及调理品</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、蔬菜</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含</w:t>
      </w:r>
      <w:r>
        <w:rPr>
          <w:rFonts w:hint="eastAsia" w:ascii="仿宋" w:hAnsi="仿宋" w:eastAsia="仿宋" w:cs="仿宋"/>
          <w:sz w:val="28"/>
          <w:szCs w:val="28"/>
          <w:highlight w:val="none"/>
        </w:rPr>
        <w:t>豆制品</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、调味品（含干货）等</w:t>
      </w:r>
      <w:r>
        <w:rPr>
          <w:rFonts w:hint="eastAsia" w:ascii="仿宋" w:hAnsi="仿宋" w:eastAsia="仿宋" w:cs="仿宋"/>
          <w:sz w:val="28"/>
          <w:szCs w:val="28"/>
          <w:highlight w:val="none"/>
          <w:lang w:val="en-US" w:eastAsia="zh-CN"/>
        </w:rPr>
        <w:t>七</w:t>
      </w:r>
      <w:r>
        <w:rPr>
          <w:rFonts w:hint="eastAsia" w:ascii="仿宋" w:hAnsi="仿宋" w:eastAsia="仿宋" w:cs="仿宋"/>
          <w:sz w:val="28"/>
          <w:szCs w:val="28"/>
          <w:highlight w:val="none"/>
        </w:rPr>
        <w:t>个标段</w:t>
      </w:r>
      <w:r>
        <w:rPr>
          <w:rFonts w:hint="eastAsia" w:ascii="仿宋" w:hAnsi="仿宋" w:eastAsia="仿宋" w:cs="仿宋"/>
          <w:sz w:val="28"/>
          <w:szCs w:val="28"/>
          <w:highlight w:val="none"/>
          <w:lang w:eastAsia="zh-CN"/>
        </w:rPr>
        <w:t>。</w:t>
      </w:r>
    </w:p>
    <w:p w14:paraId="6B32487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供应数量：每</w:t>
      </w:r>
      <w:r>
        <w:rPr>
          <w:rFonts w:hint="eastAsia" w:ascii="仿宋" w:hAnsi="仿宋" w:eastAsia="仿宋" w:cs="仿宋"/>
          <w:sz w:val="28"/>
          <w:szCs w:val="28"/>
          <w:lang w:val="en-US" w:eastAsia="zh-CN"/>
        </w:rPr>
        <w:t>日</w:t>
      </w:r>
      <w:r>
        <w:rPr>
          <w:rFonts w:hint="eastAsia" w:ascii="仿宋" w:hAnsi="仿宋" w:eastAsia="仿宋" w:cs="仿宋"/>
          <w:sz w:val="28"/>
          <w:szCs w:val="28"/>
        </w:rPr>
        <w:t>约1万人食用量，具体供应数量以实际需求为准（以上数据仅作参考,不作为投标和合同签订与履行的依据）。</w:t>
      </w:r>
    </w:p>
    <w:p w14:paraId="1D0CC97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服务内容：保证</w:t>
      </w:r>
      <w:r>
        <w:rPr>
          <w:rFonts w:hint="eastAsia" w:ascii="仿宋" w:hAnsi="仿宋" w:eastAsia="仿宋" w:cs="仿宋"/>
          <w:sz w:val="28"/>
          <w:szCs w:val="28"/>
          <w:lang w:eastAsia="zh-CN"/>
        </w:rPr>
        <w:t>食堂食品原材料</w:t>
      </w:r>
      <w:r>
        <w:rPr>
          <w:rFonts w:hint="eastAsia" w:ascii="仿宋" w:hAnsi="仿宋" w:eastAsia="仿宋" w:cs="仿宋"/>
          <w:sz w:val="28"/>
          <w:szCs w:val="28"/>
        </w:rPr>
        <w:t>的供应，保质、保量、及时运抵甲方指定餐厅仓库（无论需量的多少，都必须及时送货）；</w:t>
      </w:r>
    </w:p>
    <w:p w14:paraId="2B62CAC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质保期：按国家有关规定执行；</w:t>
      </w:r>
    </w:p>
    <w:p w14:paraId="6CD7508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sz w:val="28"/>
          <w:szCs w:val="28"/>
        </w:rPr>
        <w:t>质量要求：</w:t>
      </w:r>
      <w:r>
        <w:rPr>
          <w:rFonts w:hint="eastAsia" w:ascii="仿宋" w:hAnsi="仿宋" w:eastAsia="仿宋" w:cs="仿宋"/>
          <w:bCs/>
          <w:sz w:val="28"/>
          <w:szCs w:val="28"/>
        </w:rPr>
        <w:t>1.大米必须符合GB/T 1354-2018标准规定的国家一级米的要求，并具备“QS”食品质量安全认证。</w:t>
      </w:r>
    </w:p>
    <w:p w14:paraId="2371156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lang w:val="en-US" w:eastAsia="zh-CN"/>
        </w:rPr>
        <w:t>2.</w:t>
      </w:r>
      <w:r>
        <w:rPr>
          <w:rFonts w:hint="eastAsia" w:ascii="仿宋" w:hAnsi="仿宋" w:eastAsia="仿宋" w:cs="仿宋"/>
          <w:bCs/>
          <w:sz w:val="28"/>
          <w:szCs w:val="28"/>
        </w:rPr>
        <w:t>面粉必须符合GB1355-2021标准规定的中筋小麦粉一级粉的要求，并具备“QS”食品质量安全认证。</w:t>
      </w:r>
    </w:p>
    <w:p w14:paraId="71496BF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lang w:val="en-US" w:eastAsia="zh-CN"/>
        </w:rPr>
        <w:t>3.</w:t>
      </w:r>
      <w:r>
        <w:rPr>
          <w:rFonts w:hint="eastAsia" w:ascii="仿宋" w:hAnsi="仿宋" w:eastAsia="仿宋" w:cs="仿宋"/>
          <w:bCs/>
          <w:sz w:val="28"/>
          <w:szCs w:val="28"/>
        </w:rPr>
        <w:t>非转基因食用油符合国家标准GB7653-87、CQC76-000200-2017 非转基因产品身份保持认证规则，并具备“QS”食品质量安全认证。</w:t>
      </w:r>
    </w:p>
    <w:p w14:paraId="2F764BF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lang w:eastAsia="zh-CN"/>
        </w:rPr>
      </w:pPr>
      <w:r>
        <w:rPr>
          <w:rFonts w:hint="eastAsia" w:ascii="仿宋" w:hAnsi="仿宋" w:eastAsia="仿宋" w:cs="仿宋"/>
          <w:bCs/>
          <w:sz w:val="28"/>
          <w:szCs w:val="28"/>
          <w:lang w:val="en-US" w:eastAsia="zh-CN"/>
        </w:rPr>
        <w:t>4</w:t>
      </w:r>
      <w:r>
        <w:rPr>
          <w:rFonts w:hint="eastAsia" w:ascii="仿宋" w:hAnsi="仿宋" w:eastAsia="仿宋" w:cs="仿宋"/>
          <w:bCs/>
          <w:sz w:val="28"/>
          <w:szCs w:val="28"/>
        </w:rPr>
        <w:t>. 猪肉分割产品[（鲜、冻猪肉国家标准GB/T 9959.1-2019 ），每批次均具有动物检验检疫合格证明</w:t>
      </w:r>
      <w:r>
        <w:rPr>
          <w:rFonts w:hint="eastAsia" w:ascii="仿宋" w:hAnsi="仿宋" w:eastAsia="仿宋" w:cs="仿宋"/>
          <w:bCs/>
          <w:sz w:val="28"/>
          <w:szCs w:val="28"/>
          <w:lang w:eastAsia="zh-CN"/>
        </w:rPr>
        <w:t>。</w:t>
      </w:r>
    </w:p>
    <w:p w14:paraId="3A69ED8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5.</w:t>
      </w:r>
      <w:r>
        <w:rPr>
          <w:rFonts w:hint="eastAsia" w:ascii="仿宋" w:hAnsi="仿宋" w:eastAsia="仿宋" w:cs="仿宋"/>
          <w:bCs/>
          <w:sz w:val="28"/>
          <w:szCs w:val="28"/>
        </w:rPr>
        <w:t>鸡蛋必须符合GB2749-2015标准规定的质量要求。</w:t>
      </w:r>
    </w:p>
    <w:p w14:paraId="261C1FD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lang w:val="en-US" w:eastAsia="zh-CN"/>
        </w:rPr>
        <w:t>6</w:t>
      </w:r>
      <w:r>
        <w:rPr>
          <w:rFonts w:hint="eastAsia" w:ascii="仿宋" w:hAnsi="仿宋" w:eastAsia="仿宋" w:cs="仿宋"/>
          <w:bCs/>
          <w:sz w:val="28"/>
          <w:szCs w:val="28"/>
        </w:rPr>
        <w:t>.冻品中的畜禽产品必须符合GB2707-2016标准规定的质量要求，其他畜禽加工产品必须符合相关产品国家标准的要求。</w:t>
      </w:r>
    </w:p>
    <w:p w14:paraId="1CA35E2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lang w:eastAsia="zh-CN"/>
        </w:rPr>
      </w:pPr>
      <w:r>
        <w:rPr>
          <w:rFonts w:hint="eastAsia" w:ascii="仿宋" w:hAnsi="仿宋" w:eastAsia="仿宋" w:cs="仿宋"/>
          <w:bCs/>
          <w:sz w:val="28"/>
          <w:szCs w:val="28"/>
          <w:lang w:val="en-US" w:eastAsia="zh-CN"/>
        </w:rPr>
        <w:t>7.</w:t>
      </w:r>
      <w:r>
        <w:rPr>
          <w:rFonts w:hint="eastAsia" w:ascii="仿宋" w:hAnsi="仿宋" w:eastAsia="仿宋" w:cs="仿宋"/>
          <w:bCs/>
          <w:sz w:val="28"/>
          <w:szCs w:val="28"/>
        </w:rPr>
        <w:t>蔬菜必须符合GB2763-2016标准规定的农药残留要求，且符合新鲜无公害蔬菜的要求</w:t>
      </w:r>
      <w:r>
        <w:rPr>
          <w:rFonts w:hint="eastAsia" w:ascii="仿宋" w:hAnsi="仿宋" w:eastAsia="仿宋" w:cs="仿宋"/>
          <w:bCs/>
          <w:sz w:val="28"/>
          <w:szCs w:val="28"/>
          <w:lang w:eastAsia="zh-CN"/>
        </w:rPr>
        <w:t>。</w:t>
      </w:r>
    </w:p>
    <w:p w14:paraId="3D25923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lang w:eastAsia="zh-CN"/>
        </w:rPr>
      </w:pPr>
      <w:r>
        <w:rPr>
          <w:rFonts w:hint="eastAsia" w:ascii="仿宋" w:hAnsi="仿宋" w:eastAsia="仿宋" w:cs="仿宋"/>
          <w:bCs/>
          <w:sz w:val="28"/>
          <w:szCs w:val="28"/>
          <w:lang w:val="en-US" w:eastAsia="zh-CN"/>
        </w:rPr>
        <w:t>8.</w:t>
      </w:r>
      <w:r>
        <w:rPr>
          <w:rFonts w:hint="eastAsia" w:ascii="仿宋" w:hAnsi="仿宋" w:eastAsia="仿宋" w:cs="仿宋"/>
          <w:bCs/>
          <w:sz w:val="28"/>
          <w:szCs w:val="28"/>
        </w:rPr>
        <w:t>豆制品必须符合GB 2712-2014标准，质量达到盐城市质量监督部门的要求</w:t>
      </w:r>
      <w:r>
        <w:rPr>
          <w:rFonts w:hint="eastAsia" w:ascii="仿宋" w:hAnsi="仿宋" w:eastAsia="仿宋" w:cs="仿宋"/>
          <w:bCs/>
          <w:sz w:val="28"/>
          <w:szCs w:val="28"/>
          <w:lang w:eastAsia="zh-CN"/>
        </w:rPr>
        <w:t>。</w:t>
      </w:r>
    </w:p>
    <w:p w14:paraId="7E4EC5F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lang w:val="en-US" w:eastAsia="zh-CN"/>
        </w:rPr>
        <w:t>9</w:t>
      </w:r>
      <w:r>
        <w:rPr>
          <w:rFonts w:hint="eastAsia" w:ascii="仿宋" w:hAnsi="仿宋" w:eastAsia="仿宋" w:cs="仿宋"/>
          <w:bCs/>
          <w:sz w:val="28"/>
          <w:szCs w:val="28"/>
        </w:rPr>
        <w:t>.调味品（含干货）应符合GB/T20903-2007国家标准要求。</w:t>
      </w:r>
    </w:p>
    <w:p w14:paraId="4D3EC973">
      <w:pPr>
        <w:spacing w:before="156" w:beforeLines="50" w:after="156" w:afterLines="50" w:line="500" w:lineRule="exact"/>
        <w:ind w:firstLine="422" w:firstLineChars="200"/>
        <w:rPr>
          <w:rFonts w:hint="eastAsia"/>
          <w:b/>
        </w:rPr>
      </w:pPr>
      <w:r>
        <w:rPr>
          <w:rFonts w:hint="eastAsia"/>
          <w:b/>
        </w:rPr>
        <w:t>二、招标标段如下：</w:t>
      </w:r>
    </w:p>
    <w:tbl>
      <w:tblPr>
        <w:tblStyle w:val="11"/>
        <w:tblW w:w="7088"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25"/>
        <w:gridCol w:w="4863"/>
      </w:tblGrid>
      <w:tr w14:paraId="5916B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1" w:hRule="atLeast"/>
        </w:trPr>
        <w:tc>
          <w:tcPr>
            <w:tcW w:w="2225" w:type="dxa"/>
            <w:vAlign w:val="center"/>
          </w:tcPr>
          <w:p w14:paraId="6C2B77C0">
            <w:pPr>
              <w:spacing w:before="156" w:beforeLines="50" w:after="156" w:afterLines="50" w:line="500" w:lineRule="exact"/>
              <w:jc w:val="center"/>
              <w:rPr>
                <w:rFonts w:hint="eastAsia"/>
              </w:rPr>
            </w:pPr>
            <w:r>
              <w:rPr>
                <w:rFonts w:hint="eastAsia"/>
              </w:rPr>
              <w:t>项目标段</w:t>
            </w:r>
          </w:p>
        </w:tc>
        <w:tc>
          <w:tcPr>
            <w:tcW w:w="4863" w:type="dxa"/>
            <w:vAlign w:val="center"/>
          </w:tcPr>
          <w:p w14:paraId="5EB9A5AD">
            <w:pPr>
              <w:spacing w:before="156" w:beforeLines="50" w:after="156" w:afterLines="50" w:line="500" w:lineRule="exact"/>
              <w:jc w:val="center"/>
              <w:rPr>
                <w:rFonts w:hint="eastAsia"/>
              </w:rPr>
            </w:pPr>
            <w:r>
              <w:rPr>
                <w:rFonts w:hint="eastAsia"/>
              </w:rPr>
              <w:t>项目名称</w:t>
            </w:r>
          </w:p>
        </w:tc>
      </w:tr>
      <w:tr w14:paraId="6549C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1" w:hRule="atLeast"/>
        </w:trPr>
        <w:tc>
          <w:tcPr>
            <w:tcW w:w="2225" w:type="dxa"/>
            <w:vAlign w:val="center"/>
          </w:tcPr>
          <w:p w14:paraId="0811BBFB">
            <w:pPr>
              <w:spacing w:before="156" w:beforeLines="50" w:after="156" w:afterLines="50" w:line="500" w:lineRule="exact"/>
              <w:jc w:val="center"/>
            </w:pPr>
            <w:r>
              <w:rPr>
                <w:rFonts w:hint="eastAsia"/>
              </w:rPr>
              <w:t>标段1</w:t>
            </w:r>
          </w:p>
        </w:tc>
        <w:tc>
          <w:tcPr>
            <w:tcW w:w="4863" w:type="dxa"/>
            <w:vAlign w:val="center"/>
          </w:tcPr>
          <w:p w14:paraId="7A9A07B8">
            <w:pPr>
              <w:spacing w:before="156" w:beforeLines="50" w:after="156" w:afterLines="50" w:line="500" w:lineRule="exact"/>
              <w:jc w:val="center"/>
              <w:rPr>
                <w:rFonts w:hint="eastAsia" w:eastAsiaTheme="minorEastAsia"/>
                <w:lang w:eastAsia="zh-CN"/>
              </w:rPr>
            </w:pPr>
            <w:r>
              <w:rPr>
                <w:rFonts w:hint="eastAsia"/>
              </w:rPr>
              <w:t>大米</w:t>
            </w:r>
            <w:r>
              <w:rPr>
                <w:rFonts w:hint="eastAsia"/>
                <w:lang w:eastAsia="zh-CN"/>
              </w:rPr>
              <w:t>（</w:t>
            </w:r>
            <w:r>
              <w:rPr>
                <w:rFonts w:hint="eastAsia"/>
                <w:lang w:val="en-US" w:eastAsia="zh-CN"/>
              </w:rPr>
              <w:t>含面粉</w:t>
            </w:r>
            <w:r>
              <w:rPr>
                <w:rFonts w:hint="eastAsia"/>
                <w:lang w:eastAsia="zh-CN"/>
              </w:rPr>
              <w:t>）</w:t>
            </w:r>
          </w:p>
        </w:tc>
      </w:tr>
      <w:tr w14:paraId="1C364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2" w:hRule="atLeast"/>
        </w:trPr>
        <w:tc>
          <w:tcPr>
            <w:tcW w:w="2225" w:type="dxa"/>
            <w:vAlign w:val="center"/>
          </w:tcPr>
          <w:p w14:paraId="16CB15B6">
            <w:pPr>
              <w:spacing w:before="156" w:beforeLines="50" w:after="156" w:afterLines="50" w:line="500" w:lineRule="exact"/>
              <w:jc w:val="center"/>
              <w:rPr>
                <w:rFonts w:hint="eastAsia" w:asciiTheme="minorHAnsi" w:hAnsiTheme="minorHAnsi" w:eastAsiaTheme="minorEastAsia" w:cstheme="minorBidi"/>
                <w:kern w:val="2"/>
                <w:sz w:val="21"/>
                <w:szCs w:val="22"/>
                <w:lang w:val="en-US" w:eastAsia="zh-CN" w:bidi="ar-SA"/>
              </w:rPr>
            </w:pPr>
            <w:r>
              <w:rPr>
                <w:rFonts w:hint="eastAsia"/>
              </w:rPr>
              <w:t>标段</w:t>
            </w:r>
            <w:r>
              <w:rPr>
                <w:rFonts w:hint="eastAsia"/>
                <w:lang w:val="en-US" w:eastAsia="zh-CN"/>
              </w:rPr>
              <w:t>2</w:t>
            </w:r>
          </w:p>
        </w:tc>
        <w:tc>
          <w:tcPr>
            <w:tcW w:w="4863" w:type="dxa"/>
            <w:vAlign w:val="center"/>
          </w:tcPr>
          <w:p w14:paraId="2A2FE1EB">
            <w:pPr>
              <w:spacing w:before="156" w:beforeLines="50" w:after="156" w:afterLines="50" w:line="500" w:lineRule="exact"/>
              <w:jc w:val="center"/>
            </w:pPr>
            <w:r>
              <w:rPr>
                <w:rFonts w:hint="eastAsia"/>
              </w:rPr>
              <w:t>食用油</w:t>
            </w:r>
            <w:r>
              <w:rPr>
                <w:rFonts w:hint="eastAsia"/>
                <w:lang w:eastAsia="zh-CN"/>
              </w:rPr>
              <w:t>（</w:t>
            </w:r>
            <w:r>
              <w:rPr>
                <w:rFonts w:hint="eastAsia"/>
                <w:bCs/>
              </w:rPr>
              <w:t>非转基因</w:t>
            </w:r>
            <w:r>
              <w:rPr>
                <w:rFonts w:hint="eastAsia"/>
                <w:lang w:eastAsia="zh-CN"/>
              </w:rPr>
              <w:t>）</w:t>
            </w:r>
          </w:p>
        </w:tc>
      </w:tr>
      <w:tr w14:paraId="1BFCE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trPr>
        <w:tc>
          <w:tcPr>
            <w:tcW w:w="2225" w:type="dxa"/>
            <w:vAlign w:val="center"/>
          </w:tcPr>
          <w:p w14:paraId="22E82CB5">
            <w:pPr>
              <w:spacing w:before="156" w:beforeLines="50" w:after="156" w:afterLines="50" w:line="500" w:lineRule="exact"/>
              <w:jc w:val="center"/>
              <w:rPr>
                <w:rFonts w:hint="eastAsia" w:asciiTheme="minorHAnsi" w:hAnsiTheme="minorHAnsi" w:eastAsiaTheme="minorEastAsia" w:cstheme="minorBidi"/>
                <w:kern w:val="2"/>
                <w:sz w:val="21"/>
                <w:szCs w:val="22"/>
                <w:lang w:val="en-US" w:eastAsia="zh-CN" w:bidi="ar-SA"/>
              </w:rPr>
            </w:pPr>
            <w:r>
              <w:rPr>
                <w:rFonts w:hint="eastAsia"/>
              </w:rPr>
              <w:t>标段</w:t>
            </w:r>
            <w:r>
              <w:rPr>
                <w:rFonts w:hint="eastAsia"/>
                <w:lang w:val="en-US" w:eastAsia="zh-CN"/>
              </w:rPr>
              <w:t>3</w:t>
            </w:r>
          </w:p>
        </w:tc>
        <w:tc>
          <w:tcPr>
            <w:tcW w:w="4863" w:type="dxa"/>
            <w:vAlign w:val="center"/>
          </w:tcPr>
          <w:p w14:paraId="7A08804D">
            <w:pPr>
              <w:spacing w:before="156" w:beforeLines="50" w:after="156" w:afterLines="50" w:line="500" w:lineRule="exact"/>
              <w:jc w:val="center"/>
            </w:pPr>
            <w:r>
              <w:rPr>
                <w:rFonts w:hint="eastAsia"/>
              </w:rPr>
              <w:t>猪肉</w:t>
            </w:r>
          </w:p>
        </w:tc>
      </w:tr>
      <w:tr w14:paraId="5565A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trPr>
        <w:tc>
          <w:tcPr>
            <w:tcW w:w="2225" w:type="dxa"/>
            <w:vAlign w:val="center"/>
          </w:tcPr>
          <w:p w14:paraId="79428D36">
            <w:pPr>
              <w:spacing w:before="156" w:beforeLines="50" w:after="156" w:afterLines="50" w:line="500" w:lineRule="exact"/>
              <w:jc w:val="center"/>
              <w:rPr>
                <w:rFonts w:hint="eastAsia" w:asciiTheme="minorHAnsi" w:hAnsiTheme="minorHAnsi" w:eastAsiaTheme="minorEastAsia" w:cstheme="minorBidi"/>
                <w:kern w:val="2"/>
                <w:sz w:val="21"/>
                <w:szCs w:val="22"/>
                <w:lang w:val="en-US" w:eastAsia="zh-CN" w:bidi="ar-SA"/>
              </w:rPr>
            </w:pPr>
            <w:r>
              <w:rPr>
                <w:rFonts w:hint="eastAsia"/>
              </w:rPr>
              <w:t>标段</w:t>
            </w:r>
            <w:r>
              <w:rPr>
                <w:rFonts w:hint="eastAsia"/>
                <w:lang w:val="en-US" w:eastAsia="zh-CN"/>
              </w:rPr>
              <w:t>4</w:t>
            </w:r>
          </w:p>
        </w:tc>
        <w:tc>
          <w:tcPr>
            <w:tcW w:w="4863" w:type="dxa"/>
            <w:vAlign w:val="center"/>
          </w:tcPr>
          <w:p w14:paraId="43BC52FA">
            <w:pPr>
              <w:spacing w:before="156" w:beforeLines="50" w:after="156" w:afterLines="50" w:line="500" w:lineRule="exact"/>
              <w:jc w:val="center"/>
            </w:pPr>
            <w:r>
              <w:rPr>
                <w:rFonts w:hint="eastAsia"/>
              </w:rPr>
              <w:t>鸡蛋</w:t>
            </w:r>
          </w:p>
        </w:tc>
      </w:tr>
      <w:tr w14:paraId="01C3C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trPr>
        <w:tc>
          <w:tcPr>
            <w:tcW w:w="2225" w:type="dxa"/>
            <w:vAlign w:val="center"/>
          </w:tcPr>
          <w:p w14:paraId="6E624D7B">
            <w:pPr>
              <w:spacing w:before="156" w:beforeLines="50" w:after="156" w:afterLines="50" w:line="500" w:lineRule="exact"/>
              <w:jc w:val="center"/>
              <w:rPr>
                <w:rFonts w:hint="eastAsia" w:asciiTheme="minorHAnsi" w:hAnsiTheme="minorHAnsi" w:eastAsiaTheme="minorEastAsia" w:cstheme="minorBidi"/>
                <w:kern w:val="2"/>
                <w:sz w:val="21"/>
                <w:szCs w:val="22"/>
                <w:lang w:val="en-US" w:eastAsia="zh-CN" w:bidi="ar-SA"/>
              </w:rPr>
            </w:pPr>
            <w:r>
              <w:rPr>
                <w:rFonts w:hint="eastAsia"/>
              </w:rPr>
              <w:t>标段</w:t>
            </w:r>
            <w:r>
              <w:rPr>
                <w:rFonts w:hint="eastAsia"/>
                <w:lang w:val="en-US" w:eastAsia="zh-CN"/>
              </w:rPr>
              <w:t>5</w:t>
            </w:r>
          </w:p>
        </w:tc>
        <w:tc>
          <w:tcPr>
            <w:tcW w:w="4863" w:type="dxa"/>
            <w:vAlign w:val="center"/>
          </w:tcPr>
          <w:p w14:paraId="13A4E70D">
            <w:pPr>
              <w:spacing w:before="156" w:beforeLines="50" w:after="156" w:afterLines="50" w:line="500" w:lineRule="exact"/>
              <w:jc w:val="center"/>
            </w:pPr>
            <w:r>
              <w:rPr>
                <w:rFonts w:hint="eastAsia"/>
              </w:rPr>
              <w:t>冻品</w:t>
            </w:r>
            <w:r>
              <w:rPr>
                <w:rFonts w:hint="eastAsia"/>
                <w:lang w:eastAsia="zh-CN"/>
              </w:rPr>
              <w:t>（</w:t>
            </w:r>
            <w:r>
              <w:rPr>
                <w:rFonts w:hint="eastAsia"/>
                <w:lang w:val="en-US" w:eastAsia="zh-CN"/>
              </w:rPr>
              <w:t>及调理品</w:t>
            </w:r>
            <w:r>
              <w:rPr>
                <w:rFonts w:hint="eastAsia"/>
                <w:lang w:eastAsia="zh-CN"/>
              </w:rPr>
              <w:t>）</w:t>
            </w:r>
          </w:p>
        </w:tc>
      </w:tr>
      <w:tr w14:paraId="23A62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trPr>
        <w:tc>
          <w:tcPr>
            <w:tcW w:w="2225" w:type="dxa"/>
            <w:vAlign w:val="center"/>
          </w:tcPr>
          <w:p w14:paraId="100C5080">
            <w:pPr>
              <w:spacing w:before="156" w:beforeLines="50" w:after="156" w:afterLines="50" w:line="500" w:lineRule="exact"/>
              <w:jc w:val="center"/>
              <w:rPr>
                <w:rFonts w:hint="eastAsia" w:eastAsiaTheme="minorEastAsia"/>
                <w:lang w:eastAsia="zh-CN"/>
              </w:rPr>
            </w:pPr>
            <w:r>
              <w:rPr>
                <w:rFonts w:hint="eastAsia"/>
              </w:rPr>
              <w:t>标段</w:t>
            </w:r>
            <w:r>
              <w:rPr>
                <w:rFonts w:hint="eastAsia"/>
                <w:lang w:val="en-US" w:eastAsia="zh-CN"/>
              </w:rPr>
              <w:t>6</w:t>
            </w:r>
          </w:p>
        </w:tc>
        <w:tc>
          <w:tcPr>
            <w:tcW w:w="4863" w:type="dxa"/>
            <w:vAlign w:val="center"/>
          </w:tcPr>
          <w:p w14:paraId="77440EAD">
            <w:pPr>
              <w:spacing w:before="156" w:beforeLines="50" w:after="156" w:afterLines="50" w:line="500" w:lineRule="exact"/>
              <w:jc w:val="center"/>
              <w:rPr>
                <w:rFonts w:hint="eastAsia" w:eastAsiaTheme="minorEastAsia"/>
                <w:lang w:eastAsia="zh-CN"/>
              </w:rPr>
            </w:pPr>
            <w:r>
              <w:rPr>
                <w:rFonts w:hint="eastAsia"/>
              </w:rPr>
              <w:t>蔬菜</w:t>
            </w:r>
            <w:r>
              <w:rPr>
                <w:rFonts w:hint="eastAsia"/>
                <w:lang w:eastAsia="zh-CN"/>
              </w:rPr>
              <w:t>（</w:t>
            </w:r>
            <w:r>
              <w:rPr>
                <w:rFonts w:hint="eastAsia"/>
                <w:lang w:val="en-US" w:eastAsia="zh-CN"/>
              </w:rPr>
              <w:t>含豆制品</w:t>
            </w:r>
            <w:r>
              <w:rPr>
                <w:rFonts w:hint="eastAsia"/>
                <w:lang w:eastAsia="zh-CN"/>
              </w:rPr>
              <w:t>）</w:t>
            </w:r>
          </w:p>
        </w:tc>
      </w:tr>
      <w:tr w14:paraId="72F2A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trPr>
        <w:tc>
          <w:tcPr>
            <w:tcW w:w="2225" w:type="dxa"/>
            <w:vAlign w:val="center"/>
          </w:tcPr>
          <w:p w14:paraId="60DF84BD">
            <w:pPr>
              <w:spacing w:before="156" w:beforeLines="50" w:after="156" w:afterLines="50" w:line="500" w:lineRule="exact"/>
              <w:jc w:val="center"/>
              <w:rPr>
                <w:rFonts w:hint="eastAsia" w:eastAsiaTheme="minorEastAsia"/>
                <w:lang w:eastAsia="zh-CN"/>
              </w:rPr>
            </w:pPr>
            <w:r>
              <w:rPr>
                <w:rFonts w:hint="eastAsia"/>
              </w:rPr>
              <w:t>标段</w:t>
            </w:r>
            <w:r>
              <w:rPr>
                <w:rFonts w:hint="eastAsia"/>
                <w:lang w:val="en-US" w:eastAsia="zh-CN"/>
              </w:rPr>
              <w:t>7</w:t>
            </w:r>
          </w:p>
        </w:tc>
        <w:tc>
          <w:tcPr>
            <w:tcW w:w="4863" w:type="dxa"/>
            <w:vAlign w:val="center"/>
          </w:tcPr>
          <w:p w14:paraId="0432A98F">
            <w:pPr>
              <w:spacing w:before="156" w:beforeLines="50" w:after="156" w:afterLines="50" w:line="500" w:lineRule="exact"/>
              <w:jc w:val="center"/>
            </w:pPr>
            <w:r>
              <w:rPr>
                <w:rFonts w:hint="eastAsia"/>
              </w:rPr>
              <w:t>调味品（含干货）</w:t>
            </w:r>
          </w:p>
        </w:tc>
      </w:tr>
    </w:tbl>
    <w:p w14:paraId="3436D7C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rPr>
      </w:pPr>
      <w:r>
        <w:rPr>
          <w:rFonts w:hint="eastAsia"/>
          <w:bCs/>
          <w:sz w:val="28"/>
          <w:szCs w:val="28"/>
        </w:rPr>
        <w:t>备注：</w:t>
      </w:r>
    </w:p>
    <w:p w14:paraId="5E7B5A4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rPr>
      </w:pPr>
      <w:r>
        <w:rPr>
          <w:rFonts w:hint="eastAsia"/>
          <w:bCs/>
          <w:sz w:val="28"/>
          <w:szCs w:val="28"/>
        </w:rPr>
        <w:t>1.中标供应人在供应过程中，如果发生所售商品出现质量问题或造成食物中毒，经查实确属供方责任，中标供应人要承担全部责任，主要包括食物中毒人员医疗费、误工费、事故处理费等一切善后处置费用。如因此而导致招标人连带责任的，产生的费用与责任也由投标人承担。</w:t>
      </w:r>
    </w:p>
    <w:p w14:paraId="064514E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rPr>
      </w:pPr>
      <w:r>
        <w:rPr>
          <w:rFonts w:hint="eastAsia"/>
          <w:bCs/>
          <w:sz w:val="28"/>
          <w:szCs w:val="28"/>
        </w:rPr>
        <w:t>2.本项目分为</w:t>
      </w:r>
      <w:r>
        <w:rPr>
          <w:rFonts w:hint="eastAsia"/>
          <w:bCs/>
          <w:sz w:val="28"/>
          <w:szCs w:val="28"/>
          <w:lang w:val="en-US" w:eastAsia="zh-CN"/>
        </w:rPr>
        <w:t>7</w:t>
      </w:r>
      <w:r>
        <w:rPr>
          <w:rFonts w:hint="eastAsia"/>
          <w:bCs/>
          <w:sz w:val="28"/>
          <w:szCs w:val="28"/>
        </w:rPr>
        <w:t>个标段，投标人兼投兼中，多标段投标的投标人需分标段制作、封装投标文件。</w:t>
      </w:r>
    </w:p>
    <w:p w14:paraId="267AB1C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eastAsiaTheme="minorEastAsia"/>
          <w:bCs/>
          <w:sz w:val="28"/>
          <w:szCs w:val="28"/>
          <w:highlight w:val="none"/>
          <w:lang w:val="en-US" w:eastAsia="zh-CN"/>
        </w:rPr>
      </w:pPr>
      <w:r>
        <w:rPr>
          <w:rFonts w:hint="eastAsia"/>
          <w:bCs/>
          <w:sz w:val="28"/>
          <w:szCs w:val="28"/>
          <w:highlight w:val="none"/>
          <w:lang w:val="en-US" w:eastAsia="zh-CN"/>
        </w:rPr>
        <w:t>3.标段1、2、3、4、5、6、7履约保证金均为2万元。</w:t>
      </w:r>
    </w:p>
    <w:p w14:paraId="4F497B44">
      <w:pPr>
        <w:keepNext w:val="0"/>
        <w:keepLines w:val="0"/>
        <w:pageBreakBefore w:val="0"/>
        <w:widowControl w:val="0"/>
        <w:kinsoku/>
        <w:wordWrap/>
        <w:overflowPunct/>
        <w:topLinePunct w:val="0"/>
        <w:autoSpaceDE/>
        <w:autoSpaceDN/>
        <w:bidi w:val="0"/>
        <w:adjustRightInd w:val="0"/>
        <w:snapToGrid w:val="0"/>
        <w:spacing w:line="500" w:lineRule="exact"/>
        <w:ind w:firstLine="562" w:firstLineChars="200"/>
        <w:textAlignment w:val="auto"/>
        <w:rPr>
          <w:rFonts w:ascii="宋体" w:hAnsi="宋体" w:cs="黑体"/>
          <w:b/>
          <w:bCs/>
          <w:color w:val="000000"/>
          <w:sz w:val="28"/>
          <w:szCs w:val="28"/>
        </w:rPr>
      </w:pPr>
      <w:r>
        <w:rPr>
          <w:rFonts w:hint="eastAsia" w:ascii="宋体" w:hAnsi="宋体" w:cs="黑体"/>
          <w:b/>
          <w:bCs/>
          <w:color w:val="000000"/>
          <w:sz w:val="28"/>
          <w:szCs w:val="28"/>
          <w:lang w:eastAsia="zh-CN"/>
        </w:rPr>
        <w:t>三</w:t>
      </w:r>
      <w:r>
        <w:rPr>
          <w:rFonts w:hint="eastAsia" w:ascii="宋体" w:hAnsi="宋体" w:cs="黑体"/>
          <w:b/>
          <w:bCs/>
          <w:color w:val="000000"/>
          <w:sz w:val="28"/>
          <w:szCs w:val="28"/>
        </w:rPr>
        <w:t>、投标人须具备的资格条件</w:t>
      </w:r>
    </w:p>
    <w:p w14:paraId="6803278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rPr>
      </w:pPr>
      <w:r>
        <w:rPr>
          <w:rFonts w:hint="eastAsia"/>
          <w:bCs/>
          <w:sz w:val="28"/>
          <w:szCs w:val="28"/>
        </w:rPr>
        <w:t>1.在中华人民共和国境内注册，符合《中华人民共和国政府采购法》第二十二条之规定。</w:t>
      </w:r>
    </w:p>
    <w:p w14:paraId="60F4F7A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rPr>
      </w:pPr>
      <w:r>
        <w:rPr>
          <w:rFonts w:hint="eastAsia"/>
          <w:bCs/>
          <w:sz w:val="28"/>
          <w:szCs w:val="28"/>
        </w:rPr>
        <w:t>2.具备独立法人资格，能独立承担民事责任，具有相应的服务能力</w:t>
      </w:r>
      <w:r>
        <w:rPr>
          <w:rFonts w:hint="eastAsia"/>
          <w:bCs/>
          <w:sz w:val="28"/>
          <w:szCs w:val="28"/>
          <w:lang w:eastAsia="zh-CN"/>
        </w:rPr>
        <w:t>【</w:t>
      </w:r>
      <w:r>
        <w:rPr>
          <w:rFonts w:hint="eastAsia"/>
          <w:bCs/>
          <w:sz w:val="28"/>
          <w:szCs w:val="28"/>
          <w:lang w:val="en-US" w:eastAsia="zh-CN"/>
        </w:rPr>
        <w:t>在高等院校、职业院校或技工院校有过两年（含）以上类似业绩</w:t>
      </w:r>
      <w:r>
        <w:rPr>
          <w:rFonts w:hint="eastAsia"/>
          <w:bCs/>
          <w:sz w:val="28"/>
          <w:szCs w:val="28"/>
          <w:lang w:eastAsia="zh-CN"/>
        </w:rPr>
        <w:t>）】</w:t>
      </w:r>
      <w:r>
        <w:rPr>
          <w:rFonts w:hint="eastAsia"/>
          <w:bCs/>
          <w:sz w:val="28"/>
          <w:szCs w:val="28"/>
        </w:rPr>
        <w:t>，有较强的生产、</w:t>
      </w:r>
      <w:r>
        <w:rPr>
          <w:rFonts w:hint="eastAsia"/>
          <w:bCs/>
          <w:sz w:val="28"/>
          <w:szCs w:val="28"/>
          <w:lang w:val="en-US" w:eastAsia="zh-CN"/>
        </w:rPr>
        <w:t>仓储、</w:t>
      </w:r>
      <w:r>
        <w:rPr>
          <w:rFonts w:hint="eastAsia"/>
          <w:bCs/>
          <w:sz w:val="28"/>
          <w:szCs w:val="28"/>
        </w:rPr>
        <w:t>供应能力，能满足学校的数量和质量要求，能按要求提供相关的检测与质量报告，经营范围与招标项目相关。</w:t>
      </w:r>
    </w:p>
    <w:p w14:paraId="25FA9F5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rPr>
      </w:pPr>
      <w:r>
        <w:rPr>
          <w:rFonts w:hint="eastAsia"/>
          <w:bCs/>
          <w:sz w:val="28"/>
          <w:szCs w:val="28"/>
        </w:rPr>
        <w:t>3.投标人开标时需携带：</w:t>
      </w:r>
      <w:r>
        <w:rPr>
          <w:rFonts w:hint="eastAsia"/>
          <w:b/>
          <w:bCs w:val="0"/>
          <w:sz w:val="28"/>
          <w:szCs w:val="28"/>
        </w:rPr>
        <w:t>①生产型企业：</w:t>
      </w:r>
      <w:r>
        <w:rPr>
          <w:rFonts w:hint="eastAsia"/>
          <w:bCs/>
          <w:sz w:val="28"/>
          <w:szCs w:val="28"/>
        </w:rPr>
        <w:t>营业执照、全国</w:t>
      </w:r>
      <w:r>
        <w:rPr>
          <w:rFonts w:hint="eastAsia"/>
          <w:bCs/>
          <w:sz w:val="28"/>
          <w:szCs w:val="28"/>
          <w:lang w:eastAsia="zh-CN"/>
        </w:rPr>
        <w:t>食品</w:t>
      </w:r>
      <w:r>
        <w:rPr>
          <w:rFonts w:hint="eastAsia"/>
          <w:bCs/>
          <w:sz w:val="28"/>
          <w:szCs w:val="28"/>
        </w:rPr>
        <w:t>生产许可证、权威机构出具的质量检验报告、法定代表人授权委托书、授权委托人身份证。</w:t>
      </w:r>
      <w:r>
        <w:rPr>
          <w:rFonts w:hint="eastAsia"/>
          <w:b/>
          <w:bCs w:val="0"/>
          <w:sz w:val="28"/>
          <w:szCs w:val="28"/>
        </w:rPr>
        <w:t>②经营型企业：</w:t>
      </w:r>
      <w:r>
        <w:rPr>
          <w:rFonts w:hint="eastAsia"/>
          <w:bCs/>
          <w:sz w:val="28"/>
          <w:szCs w:val="28"/>
        </w:rPr>
        <w:t>代理产品的生产企业资质材料（营业执照、全国</w:t>
      </w:r>
      <w:r>
        <w:rPr>
          <w:rFonts w:hint="eastAsia"/>
          <w:bCs/>
          <w:sz w:val="28"/>
          <w:szCs w:val="28"/>
          <w:lang w:eastAsia="zh-CN"/>
        </w:rPr>
        <w:t>食品</w:t>
      </w:r>
      <w:r>
        <w:rPr>
          <w:rFonts w:hint="eastAsia"/>
          <w:bCs/>
          <w:sz w:val="28"/>
          <w:szCs w:val="28"/>
        </w:rPr>
        <w:t>生产许可证、权威机构出具的质量检验报告、法定代表人授权委托书、托受人身份证）营业执照、食品经营许可证、健康证（猪肉、豆制品提供）、农药残留检测报告（蔬菜提供），经销商授权。中标人在与招标人签订合的同时，应提供投标人的上述材料原件。（原件备查，复印件加盖企业公章）</w:t>
      </w:r>
    </w:p>
    <w:p w14:paraId="46C7C43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rPr>
      </w:pPr>
      <w:r>
        <w:rPr>
          <w:rFonts w:hint="eastAsia"/>
          <w:bCs/>
          <w:sz w:val="28"/>
          <w:szCs w:val="28"/>
        </w:rPr>
        <w:t>4.投标人未处于投标资格被取消或者财产被接管、冻结和破产状态；没有因骗取中标或严重违约以及发生重大质量、安全生产事故等问题被有关部门暂停投标资格并在暂停期内的。</w:t>
      </w:r>
    </w:p>
    <w:p w14:paraId="5D6B856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rPr>
      </w:pPr>
      <w:r>
        <w:rPr>
          <w:rFonts w:hint="eastAsia"/>
          <w:bCs/>
          <w:sz w:val="28"/>
          <w:szCs w:val="28"/>
        </w:rPr>
        <w:t>5.法定代表人为同一人或者存在直接控股、管理关系的不同投标人，不得同时参加本项目投标。</w:t>
      </w:r>
    </w:p>
    <w:p w14:paraId="5875432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rPr>
      </w:pPr>
      <w:r>
        <w:rPr>
          <w:rFonts w:hint="eastAsia"/>
          <w:bCs/>
          <w:sz w:val="28"/>
          <w:szCs w:val="28"/>
        </w:rPr>
        <w:t>6.本项目严禁以“挂靠”等形式投标或骗取中标，一经发现取消投标、中标资格，并按相关规定没收投标保证金（投标阶段）、履约保证金（中标签订合同后）。</w:t>
      </w:r>
    </w:p>
    <w:p w14:paraId="3A90B23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rPr>
      </w:pPr>
      <w:r>
        <w:rPr>
          <w:rFonts w:hint="eastAsia"/>
          <w:bCs/>
          <w:sz w:val="28"/>
          <w:szCs w:val="28"/>
        </w:rPr>
        <w:t>7.未被“信用中国”网站（www.creditchina.gov.cn）等列入失信被执行人、重大税收违法案件当事人名单、政府采购严重失信行为记录名单。</w:t>
      </w:r>
    </w:p>
    <w:p w14:paraId="6039096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rPr>
      </w:pPr>
      <w:r>
        <w:rPr>
          <w:rFonts w:hint="eastAsia"/>
          <w:bCs/>
          <w:sz w:val="28"/>
          <w:szCs w:val="28"/>
        </w:rPr>
        <w:t>8.</w:t>
      </w:r>
      <w:r>
        <w:rPr>
          <w:rFonts w:hint="eastAsia"/>
          <w:bCs/>
          <w:sz w:val="28"/>
          <w:szCs w:val="28"/>
          <w:lang w:val="en-US" w:eastAsia="zh-CN"/>
        </w:rPr>
        <w:t>2019年（含）以来</w:t>
      </w:r>
      <w:r>
        <w:rPr>
          <w:rFonts w:hint="eastAsia"/>
          <w:bCs/>
          <w:sz w:val="28"/>
          <w:szCs w:val="28"/>
        </w:rPr>
        <w:t>未发生过有责任的法律纠纷</w:t>
      </w:r>
      <w:r>
        <w:rPr>
          <w:rFonts w:hint="eastAsia"/>
          <w:bCs/>
          <w:sz w:val="28"/>
          <w:szCs w:val="28"/>
          <w:lang w:eastAsia="zh-CN"/>
        </w:rPr>
        <w:t>并书面</w:t>
      </w:r>
      <w:r>
        <w:rPr>
          <w:rFonts w:hint="eastAsia"/>
          <w:bCs/>
          <w:sz w:val="28"/>
          <w:szCs w:val="28"/>
        </w:rPr>
        <w:t>承诺。</w:t>
      </w:r>
    </w:p>
    <w:p w14:paraId="43852B6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rPr>
      </w:pPr>
      <w:r>
        <w:rPr>
          <w:rFonts w:hint="eastAsia"/>
          <w:bCs/>
          <w:sz w:val="28"/>
          <w:szCs w:val="28"/>
        </w:rPr>
        <w:t>9.</w:t>
      </w:r>
      <w:r>
        <w:rPr>
          <w:rFonts w:hint="eastAsia"/>
          <w:bCs/>
          <w:sz w:val="28"/>
          <w:szCs w:val="28"/>
          <w:lang w:val="en-US" w:eastAsia="zh-CN"/>
        </w:rPr>
        <w:t>2019年（含）以来</w:t>
      </w:r>
      <w:r>
        <w:rPr>
          <w:rFonts w:hint="eastAsia"/>
          <w:bCs/>
          <w:sz w:val="28"/>
          <w:szCs w:val="28"/>
        </w:rPr>
        <w:t>未发生过食品安全和其他安全事故</w:t>
      </w:r>
      <w:r>
        <w:rPr>
          <w:rFonts w:hint="eastAsia"/>
          <w:bCs/>
          <w:sz w:val="28"/>
          <w:szCs w:val="28"/>
          <w:lang w:eastAsia="zh-CN"/>
        </w:rPr>
        <w:t>并书面</w:t>
      </w:r>
      <w:r>
        <w:rPr>
          <w:rFonts w:hint="eastAsia"/>
          <w:bCs/>
          <w:sz w:val="28"/>
          <w:szCs w:val="28"/>
        </w:rPr>
        <w:t>承诺。</w:t>
      </w:r>
    </w:p>
    <w:p w14:paraId="59C2C1B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rPr>
      </w:pPr>
      <w:r>
        <w:rPr>
          <w:rFonts w:hint="eastAsia"/>
          <w:bCs/>
          <w:sz w:val="28"/>
          <w:szCs w:val="28"/>
        </w:rPr>
        <w:t>10.法律、行政法规规定的其他条件。</w:t>
      </w:r>
    </w:p>
    <w:p w14:paraId="643F4BD5">
      <w:pPr>
        <w:keepNext w:val="0"/>
        <w:keepLines w:val="0"/>
        <w:pageBreakBefore w:val="0"/>
        <w:widowControl w:val="0"/>
        <w:kinsoku/>
        <w:wordWrap/>
        <w:overflowPunct/>
        <w:topLinePunct w:val="0"/>
        <w:autoSpaceDE/>
        <w:autoSpaceDN/>
        <w:bidi w:val="0"/>
        <w:adjustRightInd w:val="0"/>
        <w:snapToGrid w:val="0"/>
        <w:spacing w:line="500" w:lineRule="exact"/>
        <w:ind w:firstLine="562" w:firstLineChars="200"/>
        <w:textAlignment w:val="auto"/>
        <w:rPr>
          <w:rFonts w:hint="eastAsia" w:ascii="宋体" w:hAnsi="宋体" w:cs="黑体"/>
          <w:b/>
          <w:bCs/>
          <w:color w:val="000000"/>
          <w:sz w:val="28"/>
          <w:szCs w:val="28"/>
        </w:rPr>
      </w:pPr>
      <w:r>
        <w:rPr>
          <w:rFonts w:hint="eastAsia" w:ascii="宋体" w:hAnsi="宋体" w:cs="黑体"/>
          <w:b/>
          <w:bCs/>
          <w:color w:val="000000"/>
          <w:sz w:val="28"/>
          <w:szCs w:val="28"/>
          <w:lang w:eastAsia="zh-CN"/>
        </w:rPr>
        <w:t>四</w:t>
      </w:r>
      <w:r>
        <w:rPr>
          <w:rFonts w:hint="eastAsia" w:ascii="宋体" w:hAnsi="宋体" w:cs="黑体"/>
          <w:b/>
          <w:bCs/>
          <w:color w:val="000000"/>
          <w:sz w:val="28"/>
          <w:szCs w:val="28"/>
        </w:rPr>
        <w:t>、招标内容及供货期限</w:t>
      </w:r>
    </w:p>
    <w:p w14:paraId="3EBE1B0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bCs/>
          <w:sz w:val="28"/>
          <w:szCs w:val="28"/>
          <w:lang w:val="en-US" w:eastAsia="zh-CN"/>
        </w:rPr>
      </w:pPr>
      <w:r>
        <w:rPr>
          <w:rFonts w:hint="eastAsia"/>
          <w:bCs/>
          <w:sz w:val="28"/>
          <w:szCs w:val="28"/>
          <w:lang w:val="en-US" w:eastAsia="zh-CN"/>
        </w:rPr>
        <w:t>1.食堂食品原材料：</w:t>
      </w:r>
      <w:r>
        <w:rPr>
          <w:rFonts w:hint="eastAsia"/>
          <w:b/>
          <w:bCs w:val="0"/>
          <w:sz w:val="28"/>
          <w:szCs w:val="28"/>
          <w:lang w:val="en-US" w:eastAsia="zh-CN"/>
        </w:rPr>
        <w:t>标段一、二、五、六、七各招一家意向供应商，标段三招三家意向供应商，标段四招四家意向供应商</w:t>
      </w:r>
      <w:r>
        <w:rPr>
          <w:rFonts w:hint="eastAsia"/>
          <w:bCs/>
          <w:sz w:val="28"/>
          <w:szCs w:val="28"/>
          <w:lang w:val="en-US" w:eastAsia="zh-CN"/>
        </w:rPr>
        <w:t>。首月，中标意向供应商全部参与供货。次月起，由各食堂根据各标段意向供应商的当月报价、供货质量、服务质量等，自主选择当月实际供应商。</w:t>
      </w:r>
    </w:p>
    <w:p w14:paraId="5A309BF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bCs/>
          <w:sz w:val="28"/>
          <w:szCs w:val="28"/>
          <w:lang w:val="en-US" w:eastAsia="zh-CN"/>
        </w:rPr>
      </w:pPr>
      <w:r>
        <w:rPr>
          <w:rFonts w:hint="eastAsia"/>
          <w:bCs/>
          <w:sz w:val="28"/>
          <w:szCs w:val="28"/>
          <w:lang w:val="en-US" w:eastAsia="zh-CN"/>
        </w:rPr>
        <w:t>2.供货期限：2024年9月-2025年6月。</w:t>
      </w:r>
    </w:p>
    <w:p w14:paraId="74F3EB46">
      <w:pPr>
        <w:keepNext w:val="0"/>
        <w:keepLines w:val="0"/>
        <w:pageBreakBefore w:val="0"/>
        <w:widowControl w:val="0"/>
        <w:kinsoku/>
        <w:wordWrap/>
        <w:overflowPunct/>
        <w:topLinePunct w:val="0"/>
        <w:autoSpaceDE/>
        <w:autoSpaceDN/>
        <w:bidi w:val="0"/>
        <w:adjustRightInd w:val="0"/>
        <w:snapToGrid w:val="0"/>
        <w:spacing w:line="500" w:lineRule="exact"/>
        <w:ind w:firstLine="562" w:firstLineChars="200"/>
        <w:textAlignment w:val="auto"/>
        <w:rPr>
          <w:rFonts w:ascii="宋体" w:hAnsi="宋体" w:cs="黑体"/>
          <w:b/>
          <w:bCs/>
          <w:color w:val="000000"/>
          <w:sz w:val="28"/>
          <w:szCs w:val="28"/>
        </w:rPr>
      </w:pPr>
      <w:r>
        <w:rPr>
          <w:rFonts w:hint="eastAsia" w:ascii="宋体" w:hAnsi="宋体" w:cs="黑体"/>
          <w:b/>
          <w:bCs/>
          <w:color w:val="000000"/>
          <w:sz w:val="28"/>
          <w:szCs w:val="28"/>
          <w:lang w:eastAsia="zh-CN"/>
        </w:rPr>
        <w:t>五</w:t>
      </w:r>
      <w:r>
        <w:rPr>
          <w:rFonts w:hint="eastAsia" w:ascii="宋体" w:hAnsi="宋体" w:cs="黑体"/>
          <w:b/>
          <w:bCs/>
          <w:color w:val="000000"/>
          <w:sz w:val="28"/>
          <w:szCs w:val="28"/>
        </w:rPr>
        <w:t>、投标保证金及履约保证金</w:t>
      </w:r>
    </w:p>
    <w:p w14:paraId="6065D994">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ascii="宋体" w:hAnsi="宋体" w:cs="仿宋_GB2312"/>
          <w:color w:val="000000"/>
          <w:sz w:val="28"/>
          <w:szCs w:val="28"/>
        </w:rPr>
      </w:pPr>
      <w:r>
        <w:rPr>
          <w:rFonts w:hint="eastAsia" w:ascii="宋体" w:hAnsi="宋体" w:cs="仿宋_GB2312"/>
          <w:color w:val="000000"/>
          <w:sz w:val="28"/>
          <w:szCs w:val="28"/>
        </w:rPr>
        <w:t>1.本项目投标保证金为</w:t>
      </w:r>
      <w:r>
        <w:rPr>
          <w:rFonts w:hint="eastAsia" w:ascii="宋体" w:hAnsi="宋体" w:cs="仿宋_GB2312"/>
          <w:b/>
          <w:color w:val="000000"/>
          <w:sz w:val="28"/>
          <w:szCs w:val="28"/>
        </w:rPr>
        <w:t>人民币</w:t>
      </w:r>
      <w:r>
        <w:rPr>
          <w:rFonts w:hint="eastAsia" w:ascii="宋体" w:hAnsi="宋体" w:cs="仿宋_GB2312"/>
          <w:b/>
          <w:color w:val="000000"/>
          <w:sz w:val="28"/>
          <w:szCs w:val="28"/>
          <w:u w:val="single"/>
          <w:lang w:val="en-US" w:eastAsia="zh-CN"/>
        </w:rPr>
        <w:t>2</w:t>
      </w:r>
      <w:r>
        <w:rPr>
          <w:rFonts w:hint="eastAsia" w:ascii="宋体" w:hAnsi="宋体" w:cs="仿宋_GB2312"/>
          <w:b/>
          <w:color w:val="000000"/>
          <w:sz w:val="28"/>
          <w:szCs w:val="28"/>
          <w:u w:val="single"/>
        </w:rPr>
        <w:t>000元</w:t>
      </w:r>
      <w:r>
        <w:rPr>
          <w:rFonts w:hint="eastAsia" w:ascii="宋体" w:hAnsi="宋体" w:cs="仿宋_GB2312"/>
          <w:b/>
          <w:color w:val="000000"/>
          <w:sz w:val="28"/>
          <w:szCs w:val="28"/>
          <w:u w:val="single"/>
          <w:lang w:val="en-US" w:eastAsia="zh-CN"/>
        </w:rPr>
        <w:t>/标段</w:t>
      </w:r>
      <w:r>
        <w:rPr>
          <w:rFonts w:hint="eastAsia" w:ascii="宋体" w:hAnsi="宋体" w:cs="仿宋_GB2312"/>
          <w:color w:val="000000"/>
          <w:sz w:val="28"/>
          <w:szCs w:val="28"/>
        </w:rPr>
        <w:t>，投标保证金必须使用银行本票或者银行汇票</w:t>
      </w:r>
      <w:r>
        <w:rPr>
          <w:rFonts w:hint="eastAsia" w:ascii="宋体" w:hAnsi="宋体" w:cs="仿宋_GB2312"/>
          <w:color w:val="000000"/>
          <w:sz w:val="28"/>
          <w:szCs w:val="28"/>
          <w:lang w:eastAsia="zh-CN"/>
        </w:rPr>
        <w:t>的</w:t>
      </w:r>
      <w:r>
        <w:rPr>
          <w:rFonts w:hint="eastAsia" w:ascii="宋体" w:hAnsi="宋体" w:cs="仿宋_GB2312"/>
          <w:color w:val="000000"/>
          <w:sz w:val="28"/>
          <w:szCs w:val="28"/>
        </w:rPr>
        <w:t>形式，投标人未能按上述要求提交投标保证金的，</w:t>
      </w:r>
      <w:r>
        <w:rPr>
          <w:rFonts w:hint="eastAsia" w:ascii="宋体" w:hAnsi="宋体" w:cs="仿宋_GB2312"/>
          <w:color w:val="000000"/>
          <w:sz w:val="28"/>
          <w:szCs w:val="28"/>
          <w:lang w:eastAsia="zh-CN"/>
        </w:rPr>
        <w:t>采购人</w:t>
      </w:r>
      <w:r>
        <w:rPr>
          <w:rFonts w:hint="eastAsia" w:ascii="宋体" w:hAnsi="宋体" w:cs="仿宋_GB2312"/>
          <w:color w:val="000000"/>
          <w:sz w:val="28"/>
          <w:szCs w:val="28"/>
        </w:rPr>
        <w:t>将视其为不响应投标而予以拒绝。</w:t>
      </w:r>
    </w:p>
    <w:p w14:paraId="445BC75B">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cs="仿宋_GB2312"/>
          <w:color w:val="000000"/>
          <w:sz w:val="28"/>
          <w:szCs w:val="28"/>
        </w:rPr>
      </w:pPr>
      <w:r>
        <w:rPr>
          <w:rFonts w:hint="eastAsia" w:ascii="宋体" w:hAnsi="宋体" w:cs="仿宋_GB2312"/>
          <w:color w:val="000000"/>
          <w:sz w:val="28"/>
          <w:szCs w:val="28"/>
        </w:rPr>
        <w:t>2.投标保证金核验方式为：投标文件递交的同时，投标单位将银行本票或者银行汇票直接提交给投标文件接收人员。未按上述要求提交的，投标文件将不予接收。</w:t>
      </w:r>
    </w:p>
    <w:p w14:paraId="04A0C22C">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cs="仿宋_GB2312"/>
          <w:color w:val="000000"/>
          <w:sz w:val="28"/>
          <w:szCs w:val="28"/>
        </w:rPr>
      </w:pPr>
      <w:r>
        <w:rPr>
          <w:rFonts w:hint="eastAsia" w:ascii="宋体" w:hAnsi="宋体" w:cs="仿宋_GB2312"/>
          <w:color w:val="000000"/>
          <w:sz w:val="28"/>
          <w:szCs w:val="28"/>
        </w:rPr>
        <w:t>3.未中标单位在中标结果公示后5日内退还投标保证金（无息退还）。投标人应充分考虑到如物价起伏等因素造成的投资成本增加的风险。本项目各类食材供货商签订合同</w:t>
      </w:r>
      <w:r>
        <w:rPr>
          <w:rFonts w:hint="eastAsia" w:ascii="宋体" w:hAnsi="宋体" w:cs="仿宋_GB2312"/>
          <w:color w:val="000000"/>
          <w:sz w:val="28"/>
          <w:szCs w:val="28"/>
          <w:lang w:eastAsia="zh-CN"/>
        </w:rPr>
        <w:t>前</w:t>
      </w:r>
      <w:r>
        <w:rPr>
          <w:rFonts w:hint="eastAsia" w:ascii="宋体" w:hAnsi="宋体" w:cs="仿宋_GB2312"/>
          <w:color w:val="000000"/>
          <w:sz w:val="28"/>
          <w:szCs w:val="28"/>
        </w:rPr>
        <w:t>须提交履约保证金，</w:t>
      </w:r>
      <w:r>
        <w:rPr>
          <w:rFonts w:hint="eastAsia" w:ascii="宋体" w:hAnsi="宋体" w:cs="仿宋_GB2312"/>
          <w:b/>
          <w:bCs/>
          <w:color w:val="000000"/>
          <w:sz w:val="28"/>
          <w:szCs w:val="28"/>
          <w:lang w:eastAsia="zh-CN"/>
        </w:rPr>
        <w:t>每个标段</w:t>
      </w:r>
      <w:r>
        <w:rPr>
          <w:rFonts w:hint="eastAsia" w:ascii="宋体" w:hAnsi="宋体" w:cs="仿宋_GB2312"/>
          <w:b/>
          <w:bCs/>
          <w:color w:val="000000"/>
          <w:sz w:val="28"/>
          <w:szCs w:val="28"/>
        </w:rPr>
        <w:t>需缴纳</w:t>
      </w:r>
      <w:r>
        <w:rPr>
          <w:rFonts w:hint="eastAsia" w:ascii="宋体" w:hAnsi="宋体" w:cs="仿宋_GB2312"/>
          <w:b/>
          <w:bCs/>
          <w:color w:val="000000"/>
          <w:sz w:val="28"/>
          <w:szCs w:val="28"/>
          <w:lang w:eastAsia="zh-CN"/>
        </w:rPr>
        <w:t>履约保证金</w:t>
      </w:r>
      <w:r>
        <w:rPr>
          <w:rFonts w:hint="eastAsia" w:ascii="宋体" w:hAnsi="宋体" w:cs="仿宋_GB2312"/>
          <w:b/>
          <w:bCs/>
          <w:color w:val="000000"/>
          <w:sz w:val="28"/>
          <w:szCs w:val="28"/>
          <w:lang w:val="en-US" w:eastAsia="zh-CN"/>
        </w:rPr>
        <w:t>2万</w:t>
      </w:r>
      <w:r>
        <w:rPr>
          <w:rFonts w:hint="eastAsia" w:ascii="宋体" w:hAnsi="宋体" w:cs="仿宋_GB2312"/>
          <w:b/>
          <w:bCs/>
          <w:color w:val="000000"/>
          <w:sz w:val="28"/>
          <w:szCs w:val="28"/>
        </w:rPr>
        <w:t>元。</w:t>
      </w:r>
      <w:r>
        <w:rPr>
          <w:rFonts w:hint="eastAsia" w:ascii="宋体" w:hAnsi="宋体" w:cs="仿宋_GB2312"/>
          <w:color w:val="000000"/>
          <w:sz w:val="28"/>
          <w:szCs w:val="28"/>
        </w:rPr>
        <w:t>中标人必须在中标结果公示后3日内将履约保证金按照</w:t>
      </w:r>
      <w:r>
        <w:rPr>
          <w:rFonts w:hint="eastAsia" w:ascii="宋体" w:hAnsi="宋体" w:cs="仿宋_GB2312"/>
          <w:color w:val="000000"/>
          <w:sz w:val="28"/>
          <w:szCs w:val="28"/>
          <w:lang w:eastAsia="zh-CN"/>
        </w:rPr>
        <w:t>采购人</w:t>
      </w:r>
      <w:r>
        <w:rPr>
          <w:rFonts w:hint="eastAsia" w:ascii="宋体" w:hAnsi="宋体" w:cs="仿宋_GB2312"/>
          <w:color w:val="000000"/>
          <w:sz w:val="28"/>
          <w:szCs w:val="28"/>
        </w:rPr>
        <w:t>要求打入指定账户。</w:t>
      </w:r>
      <w:r>
        <w:rPr>
          <w:rFonts w:hint="eastAsia" w:ascii="宋体" w:hAnsi="宋体" w:cs="仿宋_GB2312"/>
          <w:color w:val="000000"/>
          <w:sz w:val="28"/>
          <w:szCs w:val="28"/>
          <w:lang w:eastAsia="zh-CN"/>
        </w:rPr>
        <w:t>采购人</w:t>
      </w:r>
      <w:r>
        <w:rPr>
          <w:rFonts w:hint="eastAsia" w:ascii="宋体" w:hAnsi="宋体" w:cs="仿宋_GB2312"/>
          <w:color w:val="000000"/>
          <w:sz w:val="28"/>
          <w:szCs w:val="28"/>
        </w:rPr>
        <w:t>收到中标人履约保证金后，同时退还投标保证金（无息）。未按规定要求缴纳履约保证金的，取消其中标资格，并没收投标保证金。</w:t>
      </w:r>
    </w:p>
    <w:p w14:paraId="6CA0CCD5">
      <w:pPr>
        <w:keepNext w:val="0"/>
        <w:keepLines w:val="0"/>
        <w:pageBreakBefore w:val="0"/>
        <w:widowControl w:val="0"/>
        <w:shd w:val="clear" w:color="auto" w:fill="FFFFFF"/>
        <w:kinsoku/>
        <w:wordWrap/>
        <w:overflowPunct/>
        <w:topLinePunct w:val="0"/>
        <w:autoSpaceDE/>
        <w:autoSpaceDN/>
        <w:bidi w:val="0"/>
        <w:adjustRightInd w:val="0"/>
        <w:snapToGrid w:val="0"/>
        <w:spacing w:line="500" w:lineRule="exact"/>
        <w:ind w:firstLine="560" w:firstLineChars="200"/>
        <w:textAlignment w:val="auto"/>
        <w:rPr>
          <w:rFonts w:ascii="宋体" w:hAnsi="宋体" w:cs="仿宋_GB2312"/>
          <w:color w:val="000000"/>
          <w:sz w:val="28"/>
          <w:szCs w:val="28"/>
        </w:rPr>
      </w:pPr>
      <w:r>
        <w:rPr>
          <w:rFonts w:hint="eastAsia" w:ascii="宋体" w:hAnsi="宋体" w:cs="仿宋_GB2312"/>
          <w:color w:val="000000"/>
          <w:sz w:val="28"/>
          <w:szCs w:val="28"/>
        </w:rPr>
        <w:t>4.除不可抗力情况外，投标人发生下列任何情况之一，投标保证金将被没收，给</w:t>
      </w:r>
      <w:r>
        <w:rPr>
          <w:rFonts w:hint="eastAsia" w:ascii="宋体" w:hAnsi="宋体" w:cs="仿宋_GB2312"/>
          <w:color w:val="000000"/>
          <w:sz w:val="28"/>
          <w:szCs w:val="28"/>
          <w:lang w:eastAsia="zh-CN"/>
        </w:rPr>
        <w:t>采购人</w:t>
      </w:r>
      <w:r>
        <w:rPr>
          <w:rFonts w:hint="eastAsia" w:ascii="宋体" w:hAnsi="宋体" w:cs="仿宋_GB2312"/>
          <w:color w:val="000000"/>
          <w:sz w:val="28"/>
          <w:szCs w:val="28"/>
        </w:rPr>
        <w:t>造成的损失超过投标保证金或履约保证金数额的，投标人须对超过部分予以赔偿：</w:t>
      </w:r>
    </w:p>
    <w:p w14:paraId="4BAAFFEC">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left"/>
        <w:textAlignment w:val="auto"/>
        <w:rPr>
          <w:rFonts w:ascii="宋体" w:hAnsi="宋体" w:cs="仿宋_GB2312"/>
          <w:color w:val="000000"/>
          <w:sz w:val="28"/>
          <w:szCs w:val="28"/>
        </w:rPr>
      </w:pPr>
      <w:r>
        <w:rPr>
          <w:rFonts w:hint="eastAsia" w:ascii="宋体" w:hAnsi="宋体" w:cs="仿宋_GB2312"/>
          <w:color w:val="000000"/>
          <w:sz w:val="28"/>
          <w:szCs w:val="28"/>
        </w:rPr>
        <w:t>（1）投标人在投标有效期内撤回其投标；</w:t>
      </w:r>
    </w:p>
    <w:p w14:paraId="5FFC83B6">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left"/>
        <w:textAlignment w:val="auto"/>
        <w:rPr>
          <w:rFonts w:ascii="宋体" w:hAnsi="宋体" w:cs="仿宋_GB2312"/>
          <w:color w:val="000000"/>
          <w:sz w:val="28"/>
          <w:szCs w:val="28"/>
        </w:rPr>
      </w:pPr>
      <w:r>
        <w:rPr>
          <w:rFonts w:hint="eastAsia" w:ascii="宋体" w:hAnsi="宋体" w:cs="仿宋_GB2312"/>
          <w:color w:val="000000"/>
          <w:sz w:val="28"/>
          <w:szCs w:val="28"/>
        </w:rPr>
        <w:t>（2）中标人在规定期限内未签订合同；</w:t>
      </w:r>
    </w:p>
    <w:p w14:paraId="7E6392DF">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left"/>
        <w:textAlignment w:val="auto"/>
        <w:rPr>
          <w:rFonts w:ascii="宋体" w:hAnsi="宋体" w:cs="仿宋_GB2312"/>
          <w:color w:val="000000"/>
          <w:sz w:val="28"/>
          <w:szCs w:val="28"/>
        </w:rPr>
      </w:pPr>
      <w:r>
        <w:rPr>
          <w:rFonts w:hint="eastAsia" w:ascii="宋体" w:hAnsi="宋体" w:cs="仿宋_GB2312"/>
          <w:color w:val="000000"/>
          <w:sz w:val="28"/>
          <w:szCs w:val="28"/>
        </w:rPr>
        <w:t>（3）投标人提供的有关资料、资格证书被确认是不真实的；</w:t>
      </w:r>
    </w:p>
    <w:p w14:paraId="18B84DA8">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left"/>
        <w:textAlignment w:val="auto"/>
        <w:rPr>
          <w:rFonts w:ascii="宋体" w:hAnsi="宋体" w:cs="仿宋_GB2312"/>
          <w:color w:val="000000"/>
          <w:sz w:val="28"/>
          <w:szCs w:val="28"/>
        </w:rPr>
      </w:pPr>
      <w:r>
        <w:rPr>
          <w:rFonts w:hint="eastAsia" w:ascii="宋体" w:hAnsi="宋体" w:cs="仿宋_GB2312"/>
          <w:color w:val="000000"/>
          <w:sz w:val="28"/>
          <w:szCs w:val="28"/>
        </w:rPr>
        <w:t>（4）投标人被证明有妨碍其他人公平竞争、损害</w:t>
      </w:r>
      <w:r>
        <w:rPr>
          <w:rFonts w:hint="eastAsia" w:ascii="宋体" w:hAnsi="宋体" w:cs="仿宋_GB2312"/>
          <w:color w:val="000000"/>
          <w:sz w:val="28"/>
          <w:szCs w:val="28"/>
          <w:lang w:eastAsia="zh-CN"/>
        </w:rPr>
        <w:t>采购人</w:t>
      </w:r>
      <w:r>
        <w:rPr>
          <w:rFonts w:hint="eastAsia" w:ascii="宋体" w:hAnsi="宋体" w:cs="仿宋_GB2312"/>
          <w:color w:val="000000"/>
          <w:sz w:val="28"/>
          <w:szCs w:val="28"/>
        </w:rPr>
        <w:t>或者其他投标人合法权益的；</w:t>
      </w:r>
    </w:p>
    <w:p w14:paraId="17F15F96">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left"/>
        <w:textAlignment w:val="auto"/>
        <w:rPr>
          <w:rFonts w:ascii="宋体" w:hAnsi="宋体" w:cs="仿宋_GB2312"/>
          <w:color w:val="000000"/>
          <w:sz w:val="28"/>
          <w:szCs w:val="28"/>
        </w:rPr>
      </w:pPr>
      <w:r>
        <w:rPr>
          <w:rFonts w:hint="eastAsia" w:ascii="宋体" w:hAnsi="宋体" w:cs="仿宋_GB2312"/>
          <w:color w:val="000000"/>
          <w:sz w:val="28"/>
          <w:szCs w:val="28"/>
        </w:rPr>
        <w:t>（5）投标人故意捏造事实或伪造证明材料，进行虚假恶意投诉或反映的。</w:t>
      </w:r>
    </w:p>
    <w:p w14:paraId="207A8D36">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ascii="宋体" w:hAnsi="宋体" w:cs="仿宋_GB2312"/>
          <w:color w:val="000000"/>
          <w:sz w:val="28"/>
          <w:szCs w:val="28"/>
        </w:rPr>
      </w:pPr>
      <w:r>
        <w:rPr>
          <w:rFonts w:hint="eastAsia" w:ascii="宋体" w:hAnsi="宋体" w:cs="仿宋_GB2312"/>
          <w:color w:val="000000"/>
          <w:sz w:val="28"/>
          <w:szCs w:val="28"/>
        </w:rPr>
        <w:t>5.评标结束后，</w:t>
      </w:r>
      <w:r>
        <w:rPr>
          <w:rFonts w:hint="eastAsia" w:ascii="宋体" w:hAnsi="宋体" w:cs="仿宋_GB2312"/>
          <w:color w:val="000000"/>
          <w:sz w:val="28"/>
          <w:szCs w:val="28"/>
          <w:lang w:eastAsia="zh-CN"/>
        </w:rPr>
        <w:t>采购人</w:t>
      </w:r>
      <w:r>
        <w:rPr>
          <w:rFonts w:hint="eastAsia" w:ascii="宋体" w:hAnsi="宋体" w:cs="仿宋_GB2312"/>
          <w:color w:val="000000"/>
          <w:sz w:val="28"/>
          <w:szCs w:val="28"/>
          <w:lang w:val="en-US" w:eastAsia="zh-CN"/>
        </w:rPr>
        <w:t>可以</w:t>
      </w:r>
      <w:r>
        <w:rPr>
          <w:rFonts w:hint="eastAsia" w:ascii="宋体" w:hAnsi="宋体" w:cs="仿宋_GB2312"/>
          <w:color w:val="000000"/>
          <w:sz w:val="28"/>
          <w:szCs w:val="28"/>
        </w:rPr>
        <w:t>组织有关部门对中标人候选人进行实地考察，对所投产品的采购过程、运输过程等环节进行实地调查。</w:t>
      </w:r>
    </w:p>
    <w:p w14:paraId="6EE95DF3">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ascii="宋体" w:hAnsi="宋体" w:cs="黑体"/>
          <w:b/>
          <w:bCs/>
          <w:color w:val="000000"/>
          <w:sz w:val="28"/>
          <w:szCs w:val="28"/>
        </w:rPr>
      </w:pPr>
      <w:r>
        <w:rPr>
          <w:rFonts w:hint="eastAsia" w:ascii="宋体" w:hAnsi="宋体" w:cs="仿宋_GB2312"/>
          <w:color w:val="000000"/>
          <w:sz w:val="28"/>
          <w:szCs w:val="28"/>
        </w:rPr>
        <w:t>6.履约保证金的退还：按合同要求供货并验收合格，供货期满后全额退还（无息）。</w:t>
      </w:r>
    </w:p>
    <w:p w14:paraId="357C62C9">
      <w:pPr>
        <w:keepNext w:val="0"/>
        <w:keepLines w:val="0"/>
        <w:pageBreakBefore w:val="0"/>
        <w:widowControl w:val="0"/>
        <w:kinsoku/>
        <w:wordWrap/>
        <w:overflowPunct/>
        <w:topLinePunct w:val="0"/>
        <w:autoSpaceDE/>
        <w:autoSpaceDN/>
        <w:bidi w:val="0"/>
        <w:adjustRightInd w:val="0"/>
        <w:snapToGrid w:val="0"/>
        <w:spacing w:line="500" w:lineRule="exact"/>
        <w:ind w:firstLine="562" w:firstLineChars="200"/>
        <w:textAlignment w:val="auto"/>
        <w:rPr>
          <w:rFonts w:ascii="宋体" w:hAnsi="宋体" w:cs="黑体"/>
          <w:b/>
          <w:bCs/>
          <w:color w:val="000000"/>
          <w:sz w:val="28"/>
          <w:szCs w:val="28"/>
        </w:rPr>
      </w:pPr>
      <w:r>
        <w:rPr>
          <w:rFonts w:hint="eastAsia" w:ascii="宋体" w:hAnsi="宋体" w:cs="黑体"/>
          <w:b/>
          <w:bCs/>
          <w:color w:val="000000"/>
          <w:sz w:val="28"/>
          <w:szCs w:val="28"/>
          <w:lang w:eastAsia="zh-CN"/>
        </w:rPr>
        <w:t>六</w:t>
      </w:r>
      <w:r>
        <w:rPr>
          <w:rFonts w:hint="eastAsia" w:ascii="宋体" w:hAnsi="宋体" w:cs="黑体"/>
          <w:b/>
          <w:bCs/>
          <w:color w:val="000000"/>
          <w:sz w:val="28"/>
          <w:szCs w:val="28"/>
        </w:rPr>
        <w:t>、</w:t>
      </w:r>
      <w:r>
        <w:rPr>
          <w:rFonts w:hint="eastAsia" w:ascii="宋体" w:hAnsi="宋体" w:cs="黑体"/>
          <w:b/>
          <w:bCs/>
          <w:color w:val="000000"/>
          <w:sz w:val="28"/>
          <w:szCs w:val="28"/>
          <w:lang w:val="en-US" w:eastAsia="zh-CN"/>
        </w:rPr>
        <w:t>获取招标文件</w:t>
      </w:r>
      <w:r>
        <w:rPr>
          <w:rFonts w:hint="eastAsia" w:ascii="宋体" w:hAnsi="宋体" w:cs="黑体"/>
          <w:b/>
          <w:bCs/>
          <w:color w:val="000000"/>
          <w:sz w:val="28"/>
          <w:szCs w:val="28"/>
        </w:rPr>
        <w:t>、投标文件递交截止时间、开标时间及地点</w:t>
      </w:r>
    </w:p>
    <w:p w14:paraId="03CE1E47">
      <w:pPr>
        <w:keepNext w:val="0"/>
        <w:keepLines w:val="0"/>
        <w:pageBreakBefore w:val="0"/>
        <w:widowControl w:val="0"/>
        <w:shd w:val="clear" w:color="auto" w:fill="FFFFFF"/>
        <w:kinsoku/>
        <w:wordWrap/>
        <w:overflowPunct/>
        <w:topLinePunct w:val="0"/>
        <w:autoSpaceDE/>
        <w:autoSpaceDN/>
        <w:bidi w:val="0"/>
        <w:adjustRightInd w:val="0"/>
        <w:snapToGrid w:val="0"/>
        <w:spacing w:line="500" w:lineRule="exact"/>
        <w:ind w:firstLine="560" w:firstLineChars="200"/>
        <w:textAlignment w:val="auto"/>
        <w:rPr>
          <w:rFonts w:ascii="宋体" w:hAnsi="宋体" w:cs="仿宋_GB2312"/>
          <w:b/>
          <w:bCs/>
          <w:color w:val="000000"/>
          <w:sz w:val="28"/>
          <w:szCs w:val="28"/>
        </w:rPr>
      </w:pPr>
      <w:r>
        <w:rPr>
          <w:rFonts w:hint="eastAsia" w:ascii="宋体" w:hAnsi="宋体" w:cs="仿宋_GB2312"/>
          <w:color w:val="000000"/>
          <w:sz w:val="28"/>
          <w:szCs w:val="28"/>
        </w:rPr>
        <w:t>1.</w:t>
      </w:r>
      <w:r>
        <w:rPr>
          <w:rFonts w:hint="eastAsia" w:ascii="宋体" w:hAnsi="宋体" w:cs="仿宋_GB2312"/>
          <w:color w:val="000000"/>
          <w:sz w:val="28"/>
          <w:szCs w:val="28"/>
          <w:lang w:val="en-US" w:eastAsia="zh-CN"/>
        </w:rPr>
        <w:t>获取招标文件</w:t>
      </w:r>
      <w:r>
        <w:rPr>
          <w:rFonts w:hint="eastAsia" w:ascii="宋体" w:hAnsi="宋体" w:cs="仿宋_GB2312"/>
          <w:color w:val="000000"/>
          <w:sz w:val="28"/>
          <w:szCs w:val="28"/>
        </w:rPr>
        <w:t>时间：</w:t>
      </w:r>
      <w:r>
        <w:rPr>
          <w:rFonts w:hint="eastAsia" w:ascii="宋体" w:hAnsi="宋体" w:cs="仿宋_GB2312"/>
          <w:color w:val="000000"/>
          <w:sz w:val="28"/>
          <w:szCs w:val="28"/>
          <w:u w:val="single"/>
          <w:lang w:eastAsia="zh-CN"/>
        </w:rPr>
        <w:t>202</w:t>
      </w:r>
      <w:r>
        <w:rPr>
          <w:rFonts w:hint="eastAsia" w:ascii="宋体" w:hAnsi="宋体" w:cs="仿宋_GB2312"/>
          <w:color w:val="000000"/>
          <w:sz w:val="28"/>
          <w:szCs w:val="28"/>
          <w:u w:val="single"/>
          <w:lang w:val="en-US" w:eastAsia="zh-CN"/>
        </w:rPr>
        <w:t>4</w:t>
      </w:r>
      <w:r>
        <w:rPr>
          <w:rFonts w:hint="eastAsia" w:ascii="宋体" w:hAnsi="宋体" w:cs="仿宋_GB2312"/>
          <w:color w:val="000000"/>
          <w:sz w:val="28"/>
          <w:szCs w:val="28"/>
          <w:u w:val="single"/>
        </w:rPr>
        <w:t>年</w:t>
      </w:r>
      <w:r>
        <w:rPr>
          <w:rFonts w:hint="eastAsia" w:ascii="宋体" w:hAnsi="宋体" w:cs="仿宋_GB2312"/>
          <w:color w:val="000000"/>
          <w:sz w:val="28"/>
          <w:szCs w:val="28"/>
          <w:u w:val="single"/>
          <w:lang w:val="en-US" w:eastAsia="zh-CN"/>
        </w:rPr>
        <w:t>9</w:t>
      </w:r>
      <w:r>
        <w:rPr>
          <w:rFonts w:hint="eastAsia" w:ascii="宋体" w:hAnsi="宋体" w:cs="仿宋_GB2312"/>
          <w:color w:val="000000"/>
          <w:sz w:val="28"/>
          <w:szCs w:val="28"/>
          <w:u w:val="single"/>
        </w:rPr>
        <w:t>月</w:t>
      </w:r>
      <w:r>
        <w:rPr>
          <w:rFonts w:hint="eastAsia" w:ascii="宋体" w:hAnsi="宋体" w:cs="仿宋_GB2312"/>
          <w:color w:val="000000"/>
          <w:sz w:val="28"/>
          <w:szCs w:val="28"/>
          <w:u w:val="single"/>
          <w:lang w:val="en-US" w:eastAsia="zh-CN"/>
        </w:rPr>
        <w:t>13</w:t>
      </w:r>
      <w:r>
        <w:rPr>
          <w:rFonts w:hint="eastAsia" w:ascii="宋体" w:hAnsi="宋体" w:cs="仿宋_GB2312"/>
          <w:color w:val="000000"/>
          <w:sz w:val="28"/>
          <w:szCs w:val="28"/>
          <w:u w:val="single"/>
        </w:rPr>
        <w:t>日—</w:t>
      </w:r>
      <w:r>
        <w:rPr>
          <w:rFonts w:hint="eastAsia" w:ascii="宋体" w:hAnsi="宋体" w:cs="仿宋_GB2312"/>
          <w:color w:val="000000"/>
          <w:sz w:val="28"/>
          <w:szCs w:val="28"/>
          <w:u w:val="single"/>
          <w:lang w:val="en-US" w:eastAsia="zh-CN"/>
        </w:rPr>
        <w:t>9</w:t>
      </w:r>
      <w:r>
        <w:rPr>
          <w:rFonts w:hint="eastAsia" w:ascii="宋体" w:hAnsi="宋体" w:cs="仿宋_GB2312"/>
          <w:color w:val="000000"/>
          <w:sz w:val="28"/>
          <w:szCs w:val="28"/>
          <w:u w:val="single"/>
        </w:rPr>
        <w:t>月</w:t>
      </w:r>
      <w:r>
        <w:rPr>
          <w:rFonts w:hint="eastAsia" w:ascii="宋体" w:hAnsi="宋体" w:cs="仿宋_GB2312"/>
          <w:color w:val="000000"/>
          <w:sz w:val="28"/>
          <w:szCs w:val="28"/>
          <w:u w:val="single"/>
          <w:lang w:val="en-US" w:eastAsia="zh-CN"/>
        </w:rPr>
        <w:t>20</w:t>
      </w:r>
      <w:r>
        <w:rPr>
          <w:rFonts w:hint="eastAsia" w:ascii="宋体" w:hAnsi="宋体" w:cs="仿宋_GB2312"/>
          <w:color w:val="000000"/>
          <w:sz w:val="28"/>
          <w:szCs w:val="28"/>
          <w:u w:val="single"/>
        </w:rPr>
        <w:t>日（</w:t>
      </w:r>
      <w:r>
        <w:rPr>
          <w:rFonts w:hint="eastAsia" w:ascii="宋体" w:hAnsi="宋体" w:cs="仿宋_GB2312"/>
          <w:color w:val="000000"/>
          <w:sz w:val="28"/>
          <w:szCs w:val="28"/>
          <w:u w:val="single"/>
          <w:lang w:val="en-US" w:eastAsia="zh-CN"/>
        </w:rPr>
        <w:t>8</w:t>
      </w:r>
      <w:r>
        <w:rPr>
          <w:rFonts w:hint="eastAsia" w:ascii="宋体" w:hAnsi="宋体" w:cs="仿宋_GB2312"/>
          <w:color w:val="000000"/>
          <w:sz w:val="28"/>
          <w:szCs w:val="28"/>
          <w:u w:val="single"/>
        </w:rPr>
        <w:t>:00-11:</w:t>
      </w:r>
      <w:r>
        <w:rPr>
          <w:rFonts w:hint="eastAsia" w:ascii="宋体" w:hAnsi="宋体" w:cs="仿宋_GB2312"/>
          <w:color w:val="000000"/>
          <w:sz w:val="28"/>
          <w:szCs w:val="28"/>
          <w:u w:val="single"/>
          <w:lang w:val="en-US" w:eastAsia="zh-CN"/>
        </w:rPr>
        <w:t>3</w:t>
      </w:r>
      <w:r>
        <w:rPr>
          <w:rFonts w:hint="eastAsia" w:ascii="宋体" w:hAnsi="宋体" w:cs="仿宋_GB2312"/>
          <w:color w:val="000000"/>
          <w:sz w:val="28"/>
          <w:szCs w:val="28"/>
          <w:u w:val="single"/>
        </w:rPr>
        <w:t>0；1</w:t>
      </w:r>
      <w:r>
        <w:rPr>
          <w:rFonts w:hint="eastAsia" w:ascii="宋体" w:hAnsi="宋体" w:cs="仿宋_GB2312"/>
          <w:color w:val="000000"/>
          <w:sz w:val="28"/>
          <w:szCs w:val="28"/>
          <w:u w:val="single"/>
          <w:lang w:val="en-US" w:eastAsia="zh-CN"/>
        </w:rPr>
        <w:t>4</w:t>
      </w:r>
      <w:r>
        <w:rPr>
          <w:rFonts w:hint="eastAsia" w:ascii="宋体" w:hAnsi="宋体" w:cs="仿宋_GB2312"/>
          <w:color w:val="000000"/>
          <w:sz w:val="28"/>
          <w:szCs w:val="28"/>
          <w:u w:val="single"/>
        </w:rPr>
        <w:t>:</w:t>
      </w:r>
      <w:r>
        <w:rPr>
          <w:rFonts w:hint="eastAsia" w:ascii="宋体" w:hAnsi="宋体" w:cs="仿宋_GB2312"/>
          <w:color w:val="000000"/>
          <w:sz w:val="28"/>
          <w:szCs w:val="28"/>
          <w:u w:val="single"/>
          <w:lang w:val="en-US" w:eastAsia="zh-CN"/>
        </w:rPr>
        <w:t>3</w:t>
      </w:r>
      <w:r>
        <w:rPr>
          <w:rFonts w:hint="eastAsia" w:ascii="宋体" w:hAnsi="宋体" w:cs="仿宋_GB2312"/>
          <w:color w:val="000000"/>
          <w:sz w:val="28"/>
          <w:szCs w:val="28"/>
          <w:u w:val="single"/>
        </w:rPr>
        <w:t>0—17:30）</w:t>
      </w:r>
      <w:r>
        <w:rPr>
          <w:rFonts w:hint="eastAsia" w:ascii="宋体" w:hAnsi="宋体" w:cs="仿宋_GB2312"/>
          <w:b/>
          <w:bCs/>
          <w:color w:val="000000"/>
          <w:sz w:val="28"/>
          <w:szCs w:val="28"/>
          <w:u w:val="single"/>
        </w:rPr>
        <w:t>；</w:t>
      </w:r>
    </w:p>
    <w:p w14:paraId="30AC61DE">
      <w:pPr>
        <w:keepNext w:val="0"/>
        <w:keepLines w:val="0"/>
        <w:pageBreakBefore w:val="0"/>
        <w:widowControl w:val="0"/>
        <w:shd w:val="clear" w:color="auto" w:fill="FFFFFF"/>
        <w:kinsoku/>
        <w:wordWrap/>
        <w:overflowPunct/>
        <w:topLinePunct w:val="0"/>
        <w:autoSpaceDE/>
        <w:autoSpaceDN/>
        <w:bidi w:val="0"/>
        <w:adjustRightInd w:val="0"/>
        <w:snapToGrid w:val="0"/>
        <w:spacing w:line="500" w:lineRule="exact"/>
        <w:ind w:firstLine="560" w:firstLineChars="200"/>
        <w:textAlignment w:val="auto"/>
        <w:rPr>
          <w:rFonts w:ascii="宋体" w:hAnsi="宋体" w:cs="仿宋_GB2312"/>
          <w:color w:val="000000"/>
          <w:sz w:val="28"/>
          <w:szCs w:val="28"/>
        </w:rPr>
      </w:pPr>
      <w:r>
        <w:rPr>
          <w:rFonts w:hint="eastAsia" w:ascii="宋体" w:hAnsi="宋体" w:cs="仿宋_GB2312"/>
          <w:color w:val="000000"/>
          <w:sz w:val="28"/>
          <w:szCs w:val="28"/>
        </w:rPr>
        <w:t>地点：</w:t>
      </w:r>
      <w:r>
        <w:rPr>
          <w:rFonts w:hint="eastAsia" w:ascii="宋体" w:hAnsi="宋体" w:cs="仿宋_GB2312"/>
          <w:color w:val="000000"/>
          <w:sz w:val="28"/>
          <w:szCs w:val="28"/>
          <w:lang w:val="en-US" w:eastAsia="zh-CN"/>
        </w:rPr>
        <w:t>江苏省盐城技师学院海洋路校区（盐城市盐都区海洋路29号匠心楼14楼1411办公室）。</w:t>
      </w:r>
    </w:p>
    <w:p w14:paraId="39E45229">
      <w:pPr>
        <w:keepNext w:val="0"/>
        <w:keepLines w:val="0"/>
        <w:pageBreakBefore w:val="0"/>
        <w:widowControl w:val="0"/>
        <w:shd w:val="clear" w:color="auto" w:fill="FFFFFF"/>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eastAsia="宋体" w:cs="仿宋_GB2312"/>
          <w:color w:val="000000"/>
          <w:sz w:val="28"/>
          <w:szCs w:val="28"/>
          <w:lang w:eastAsia="zh-CN"/>
        </w:rPr>
      </w:pPr>
      <w:r>
        <w:rPr>
          <w:rFonts w:hint="eastAsia" w:ascii="宋体" w:hAnsi="宋体" w:cs="仿宋_GB2312"/>
          <w:color w:val="000000"/>
          <w:sz w:val="28"/>
          <w:szCs w:val="28"/>
        </w:rPr>
        <w:t>联系人：</w:t>
      </w:r>
      <w:r>
        <w:rPr>
          <w:rFonts w:hint="eastAsia" w:ascii="宋体" w:hAnsi="宋体" w:cs="仿宋_GB2312"/>
          <w:color w:val="000000"/>
          <w:sz w:val="28"/>
          <w:szCs w:val="28"/>
          <w:lang w:eastAsia="zh-CN"/>
        </w:rPr>
        <w:t>邵</w:t>
      </w:r>
      <w:r>
        <w:rPr>
          <w:rFonts w:hint="eastAsia" w:ascii="宋体" w:hAnsi="宋体" w:cs="仿宋_GB2312"/>
          <w:color w:val="000000"/>
          <w:sz w:val="28"/>
          <w:szCs w:val="28"/>
        </w:rPr>
        <w:t>老师 0515—68661002</w:t>
      </w:r>
      <w:r>
        <w:rPr>
          <w:rFonts w:hint="eastAsia" w:ascii="仿宋" w:hAnsi="仿宋" w:eastAsia="仿宋" w:cs="仿宋"/>
          <w:color w:val="000000"/>
          <w:sz w:val="28"/>
          <w:szCs w:val="28"/>
          <w:u w:val="none"/>
          <w:lang w:val="en-US" w:eastAsia="zh-CN"/>
        </w:rPr>
        <w:t>/13905109103</w:t>
      </w:r>
    </w:p>
    <w:p w14:paraId="134F2A0C">
      <w:pPr>
        <w:keepNext w:val="0"/>
        <w:keepLines w:val="0"/>
        <w:pageBreakBefore w:val="0"/>
        <w:widowControl w:val="0"/>
        <w:shd w:val="clear" w:color="auto" w:fill="FFFFFF"/>
        <w:kinsoku/>
        <w:wordWrap/>
        <w:overflowPunct/>
        <w:topLinePunct w:val="0"/>
        <w:autoSpaceDE/>
        <w:autoSpaceDN/>
        <w:bidi w:val="0"/>
        <w:adjustRightInd w:val="0"/>
        <w:snapToGrid w:val="0"/>
        <w:spacing w:line="500" w:lineRule="exact"/>
        <w:ind w:firstLine="560" w:firstLineChars="200"/>
        <w:textAlignment w:val="auto"/>
        <w:rPr>
          <w:rFonts w:ascii="宋体" w:hAnsi="宋体" w:cs="仿宋_GB2312"/>
          <w:color w:val="000000"/>
          <w:sz w:val="28"/>
          <w:szCs w:val="28"/>
        </w:rPr>
      </w:pPr>
      <w:r>
        <w:rPr>
          <w:rFonts w:hint="eastAsia" w:ascii="宋体" w:hAnsi="宋体" w:cs="仿宋_GB2312"/>
          <w:color w:val="000000"/>
          <w:sz w:val="28"/>
          <w:szCs w:val="28"/>
        </w:rPr>
        <w:t>2.投标文件递交截止时间：</w:t>
      </w:r>
      <w:r>
        <w:rPr>
          <w:rFonts w:hint="eastAsia" w:ascii="宋体" w:hAnsi="宋体" w:cs="仿宋_GB2312"/>
          <w:color w:val="000000"/>
          <w:sz w:val="28"/>
          <w:szCs w:val="28"/>
          <w:u w:val="single"/>
          <w:lang w:eastAsia="zh-CN"/>
        </w:rPr>
        <w:t>202</w:t>
      </w:r>
      <w:r>
        <w:rPr>
          <w:rFonts w:hint="eastAsia" w:ascii="宋体" w:hAnsi="宋体" w:cs="仿宋_GB2312"/>
          <w:color w:val="000000"/>
          <w:sz w:val="28"/>
          <w:szCs w:val="28"/>
          <w:u w:val="single"/>
          <w:lang w:val="en-US" w:eastAsia="zh-CN"/>
        </w:rPr>
        <w:t>4</w:t>
      </w:r>
      <w:r>
        <w:rPr>
          <w:rFonts w:hint="eastAsia" w:ascii="宋体" w:hAnsi="宋体" w:cs="仿宋_GB2312"/>
          <w:color w:val="000000"/>
          <w:sz w:val="28"/>
          <w:szCs w:val="28"/>
          <w:u w:val="single"/>
        </w:rPr>
        <w:t>年</w:t>
      </w:r>
      <w:r>
        <w:rPr>
          <w:rFonts w:hint="eastAsia" w:ascii="宋体" w:hAnsi="宋体" w:cs="仿宋_GB2312"/>
          <w:color w:val="000000"/>
          <w:sz w:val="28"/>
          <w:szCs w:val="28"/>
          <w:u w:val="single"/>
          <w:lang w:val="en-US" w:eastAsia="zh-CN"/>
        </w:rPr>
        <w:t>9月22</w:t>
      </w:r>
      <w:r>
        <w:rPr>
          <w:rFonts w:hint="eastAsia" w:ascii="宋体" w:hAnsi="宋体" w:cs="仿宋_GB2312"/>
          <w:color w:val="000000"/>
          <w:sz w:val="28"/>
          <w:szCs w:val="28"/>
          <w:u w:val="single"/>
        </w:rPr>
        <w:t>日</w:t>
      </w:r>
      <w:r>
        <w:rPr>
          <w:rFonts w:hint="eastAsia" w:ascii="宋体" w:hAnsi="宋体" w:cs="仿宋_GB2312"/>
          <w:color w:val="000000"/>
          <w:sz w:val="28"/>
          <w:szCs w:val="28"/>
          <w:u w:val="single"/>
          <w:lang w:val="en-US" w:eastAsia="zh-CN"/>
        </w:rPr>
        <w:t>9</w:t>
      </w:r>
      <w:r>
        <w:rPr>
          <w:rFonts w:hint="eastAsia" w:ascii="宋体" w:hAnsi="宋体" w:cs="仿宋_GB2312"/>
          <w:color w:val="000000"/>
          <w:sz w:val="28"/>
          <w:szCs w:val="28"/>
          <w:u w:val="single"/>
        </w:rPr>
        <w:t>时</w:t>
      </w:r>
      <w:r>
        <w:rPr>
          <w:rFonts w:hint="eastAsia" w:ascii="宋体" w:hAnsi="宋体" w:cs="仿宋_GB2312"/>
          <w:color w:val="000000"/>
          <w:sz w:val="28"/>
          <w:szCs w:val="28"/>
          <w:u w:val="single"/>
          <w:lang w:val="en-US" w:eastAsia="zh-CN"/>
        </w:rPr>
        <w:t>00</w:t>
      </w:r>
      <w:r>
        <w:rPr>
          <w:rFonts w:hint="eastAsia" w:ascii="宋体" w:hAnsi="宋体" w:cs="仿宋_GB2312"/>
          <w:color w:val="000000"/>
          <w:sz w:val="28"/>
          <w:szCs w:val="28"/>
          <w:u w:val="single"/>
        </w:rPr>
        <w:t>分00秒；</w:t>
      </w:r>
    </w:p>
    <w:p w14:paraId="473BB56F">
      <w:pPr>
        <w:keepNext w:val="0"/>
        <w:keepLines w:val="0"/>
        <w:pageBreakBefore w:val="0"/>
        <w:widowControl w:val="0"/>
        <w:shd w:val="clear" w:color="auto" w:fill="FFFFFF"/>
        <w:kinsoku/>
        <w:wordWrap/>
        <w:overflowPunct/>
        <w:topLinePunct w:val="0"/>
        <w:autoSpaceDE/>
        <w:autoSpaceDN/>
        <w:bidi w:val="0"/>
        <w:adjustRightInd w:val="0"/>
        <w:snapToGrid w:val="0"/>
        <w:spacing w:line="500" w:lineRule="exact"/>
        <w:ind w:firstLine="560" w:firstLineChars="200"/>
        <w:textAlignment w:val="auto"/>
        <w:rPr>
          <w:rFonts w:ascii="宋体" w:hAnsi="宋体" w:cs="仿宋_GB2312"/>
          <w:color w:val="000000"/>
          <w:sz w:val="28"/>
          <w:szCs w:val="28"/>
        </w:rPr>
      </w:pPr>
      <w:r>
        <w:rPr>
          <w:rFonts w:hint="eastAsia" w:ascii="宋体" w:hAnsi="宋体" w:cs="仿宋_GB2312"/>
          <w:color w:val="000000"/>
          <w:sz w:val="28"/>
          <w:szCs w:val="28"/>
        </w:rPr>
        <w:t>3.开标时间：</w:t>
      </w:r>
      <w:r>
        <w:rPr>
          <w:rFonts w:hint="eastAsia" w:ascii="宋体" w:hAnsi="宋体" w:cs="仿宋_GB2312"/>
          <w:color w:val="000000"/>
          <w:sz w:val="28"/>
          <w:szCs w:val="28"/>
          <w:u w:val="single"/>
          <w:lang w:eastAsia="zh-CN"/>
        </w:rPr>
        <w:t>202</w:t>
      </w:r>
      <w:r>
        <w:rPr>
          <w:rFonts w:hint="eastAsia" w:ascii="宋体" w:hAnsi="宋体" w:cs="仿宋_GB2312"/>
          <w:color w:val="000000"/>
          <w:sz w:val="28"/>
          <w:szCs w:val="28"/>
          <w:u w:val="single"/>
          <w:lang w:val="en-US" w:eastAsia="zh-CN"/>
        </w:rPr>
        <w:t>4</w:t>
      </w:r>
      <w:r>
        <w:rPr>
          <w:rFonts w:hint="eastAsia" w:ascii="宋体" w:hAnsi="宋体" w:cs="仿宋_GB2312"/>
          <w:color w:val="000000"/>
          <w:sz w:val="28"/>
          <w:szCs w:val="28"/>
          <w:u w:val="single"/>
        </w:rPr>
        <w:t>年</w:t>
      </w:r>
      <w:r>
        <w:rPr>
          <w:rFonts w:hint="eastAsia" w:ascii="宋体" w:hAnsi="宋体" w:cs="仿宋_GB2312"/>
          <w:color w:val="000000"/>
          <w:sz w:val="28"/>
          <w:szCs w:val="28"/>
          <w:u w:val="single"/>
          <w:lang w:val="en-US" w:eastAsia="zh-CN"/>
        </w:rPr>
        <w:t>9</w:t>
      </w:r>
      <w:r>
        <w:rPr>
          <w:rFonts w:hint="eastAsia" w:ascii="宋体" w:hAnsi="宋体" w:cs="仿宋_GB2312"/>
          <w:color w:val="000000"/>
          <w:sz w:val="28"/>
          <w:szCs w:val="28"/>
          <w:u w:val="single"/>
        </w:rPr>
        <w:t>月</w:t>
      </w:r>
      <w:r>
        <w:rPr>
          <w:rFonts w:hint="eastAsia" w:ascii="宋体" w:hAnsi="宋体" w:cs="仿宋_GB2312"/>
          <w:color w:val="000000"/>
          <w:sz w:val="28"/>
          <w:szCs w:val="28"/>
          <w:u w:val="single"/>
          <w:lang w:val="en-US" w:eastAsia="zh-CN"/>
        </w:rPr>
        <w:t>22</w:t>
      </w:r>
      <w:r>
        <w:rPr>
          <w:rFonts w:hint="eastAsia" w:ascii="宋体" w:hAnsi="宋体" w:cs="仿宋_GB2312"/>
          <w:color w:val="000000"/>
          <w:sz w:val="28"/>
          <w:szCs w:val="28"/>
          <w:u w:val="single"/>
        </w:rPr>
        <w:t>日</w:t>
      </w:r>
      <w:r>
        <w:rPr>
          <w:rFonts w:hint="eastAsia" w:ascii="宋体" w:hAnsi="宋体" w:cs="仿宋_GB2312"/>
          <w:color w:val="000000"/>
          <w:sz w:val="28"/>
          <w:szCs w:val="28"/>
          <w:u w:val="single"/>
          <w:lang w:val="en-US" w:eastAsia="zh-CN"/>
        </w:rPr>
        <w:t>9</w:t>
      </w:r>
      <w:r>
        <w:rPr>
          <w:rFonts w:hint="eastAsia" w:ascii="宋体" w:hAnsi="宋体" w:cs="仿宋_GB2312"/>
          <w:color w:val="000000"/>
          <w:sz w:val="28"/>
          <w:szCs w:val="28"/>
          <w:u w:val="single"/>
        </w:rPr>
        <w:t>时</w:t>
      </w:r>
      <w:r>
        <w:rPr>
          <w:rFonts w:hint="eastAsia" w:ascii="宋体" w:hAnsi="宋体" w:cs="仿宋_GB2312"/>
          <w:color w:val="000000"/>
          <w:sz w:val="28"/>
          <w:szCs w:val="28"/>
          <w:u w:val="single"/>
          <w:lang w:val="en-US" w:eastAsia="zh-CN"/>
        </w:rPr>
        <w:t>30</w:t>
      </w:r>
      <w:r>
        <w:rPr>
          <w:rFonts w:hint="eastAsia" w:ascii="宋体" w:hAnsi="宋体" w:cs="仿宋_GB2312"/>
          <w:color w:val="000000"/>
          <w:sz w:val="28"/>
          <w:szCs w:val="28"/>
          <w:u w:val="single"/>
        </w:rPr>
        <w:t>分00秒；</w:t>
      </w:r>
    </w:p>
    <w:p w14:paraId="7C1ABD3A">
      <w:pPr>
        <w:keepNext w:val="0"/>
        <w:keepLines w:val="0"/>
        <w:pageBreakBefore w:val="0"/>
        <w:widowControl w:val="0"/>
        <w:shd w:val="clear" w:color="auto" w:fill="FFFFFF"/>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cs="仿宋_GB2312"/>
          <w:b/>
          <w:bCs/>
          <w:color w:val="000000"/>
          <w:sz w:val="28"/>
          <w:szCs w:val="28"/>
          <w:highlight w:val="none"/>
        </w:rPr>
      </w:pPr>
      <w:r>
        <w:rPr>
          <w:rFonts w:hint="eastAsia" w:ascii="宋体" w:hAnsi="宋体"/>
          <w:color w:val="000000"/>
          <w:sz w:val="28"/>
          <w:szCs w:val="28"/>
        </w:rPr>
        <w:t>4.</w:t>
      </w:r>
      <w:r>
        <w:rPr>
          <w:rFonts w:hint="eastAsia" w:ascii="宋体" w:hAnsi="宋体" w:cs="仿宋_GB2312"/>
          <w:color w:val="000000"/>
          <w:sz w:val="28"/>
          <w:szCs w:val="28"/>
        </w:rPr>
        <w:t>投标文件递交及开标地点：</w:t>
      </w:r>
      <w:r>
        <w:rPr>
          <w:rFonts w:hint="eastAsia" w:ascii="宋体" w:hAnsi="宋体" w:cs="仿宋_GB2312"/>
          <w:b/>
          <w:bCs/>
          <w:color w:val="000000"/>
          <w:sz w:val="28"/>
          <w:szCs w:val="28"/>
          <w:highlight w:val="none"/>
          <w:lang w:val="en-US" w:eastAsia="zh-CN"/>
        </w:rPr>
        <w:t>江苏省盐城技师学院文港路校区（盐城市文港中路128号研发楼15楼会议室）</w:t>
      </w:r>
      <w:r>
        <w:rPr>
          <w:rFonts w:hint="eastAsia" w:ascii="宋体" w:hAnsi="宋体" w:cs="仿宋_GB2312"/>
          <w:b/>
          <w:bCs/>
          <w:color w:val="000000"/>
          <w:sz w:val="28"/>
          <w:szCs w:val="28"/>
          <w:highlight w:val="none"/>
        </w:rPr>
        <w:t>；</w:t>
      </w:r>
    </w:p>
    <w:p w14:paraId="234B3D01">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ascii="宋体" w:hAnsi="宋体" w:cs="仿宋_GB2312"/>
          <w:color w:val="000000"/>
          <w:sz w:val="28"/>
          <w:szCs w:val="28"/>
        </w:rPr>
      </w:pPr>
      <w:r>
        <w:rPr>
          <w:rFonts w:hint="eastAsia" w:ascii="宋体" w:hAnsi="宋体"/>
          <w:color w:val="000000"/>
          <w:sz w:val="28"/>
          <w:szCs w:val="28"/>
        </w:rPr>
        <w:t>5.</w:t>
      </w:r>
      <w:r>
        <w:rPr>
          <w:rFonts w:hint="eastAsia" w:ascii="宋体" w:hAnsi="宋体"/>
          <w:color w:val="000000"/>
          <w:sz w:val="28"/>
          <w:szCs w:val="28"/>
          <w:lang w:eastAsia="zh-CN"/>
        </w:rPr>
        <w:t>采购人</w:t>
      </w:r>
      <w:r>
        <w:rPr>
          <w:rFonts w:hint="eastAsia" w:ascii="宋体" w:hAnsi="宋体"/>
          <w:color w:val="000000"/>
          <w:sz w:val="28"/>
          <w:szCs w:val="28"/>
        </w:rPr>
        <w:t>可以按照规定，通过修改招标文件有权酌情延长投标截止日期，在此情况下，投标人的所有权利和义务以及投标人受制的截止日期均应以延长后新的截止日期为准。</w:t>
      </w:r>
    </w:p>
    <w:p w14:paraId="6141BA03">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color w:val="000000"/>
          <w:sz w:val="28"/>
          <w:szCs w:val="28"/>
          <w:lang w:val="en-US" w:eastAsia="zh-CN"/>
        </w:rPr>
      </w:pPr>
      <w:r>
        <w:rPr>
          <w:rFonts w:hint="eastAsia" w:ascii="宋体" w:hAnsi="宋体"/>
          <w:color w:val="000000"/>
          <w:sz w:val="28"/>
          <w:szCs w:val="28"/>
          <w:lang w:val="en-US" w:eastAsia="zh-CN"/>
        </w:rPr>
        <w:t>招标（采购）资料费 300 元，在购买招标文件时现场收取。投标人交纳的招标（采购）资料费，售后不退。</w:t>
      </w:r>
    </w:p>
    <w:p w14:paraId="5851311D">
      <w:pPr>
        <w:keepNext w:val="0"/>
        <w:keepLines w:val="0"/>
        <w:pageBreakBefore w:val="0"/>
        <w:widowControl w:val="0"/>
        <w:shd w:val="clear" w:color="auto" w:fill="FFFFFF"/>
        <w:kinsoku/>
        <w:wordWrap/>
        <w:overflowPunct/>
        <w:topLinePunct w:val="0"/>
        <w:autoSpaceDE/>
        <w:autoSpaceDN/>
        <w:bidi w:val="0"/>
        <w:adjustRightInd w:val="0"/>
        <w:snapToGrid w:val="0"/>
        <w:spacing w:line="500" w:lineRule="exact"/>
        <w:ind w:firstLine="562" w:firstLineChars="200"/>
        <w:textAlignment w:val="auto"/>
        <w:rPr>
          <w:rFonts w:ascii="宋体" w:hAnsi="宋体" w:cs="仿宋_GB2312"/>
          <w:b/>
          <w:color w:val="000000"/>
          <w:sz w:val="28"/>
          <w:szCs w:val="28"/>
        </w:rPr>
      </w:pPr>
      <w:r>
        <w:rPr>
          <w:rFonts w:hint="eastAsia" w:ascii="宋体" w:hAnsi="宋体" w:cs="仿宋_GB2312"/>
          <w:b/>
          <w:color w:val="000000"/>
          <w:sz w:val="28"/>
          <w:szCs w:val="28"/>
        </w:rPr>
        <w:t>注：本项目投标人在递交投标文件时须同时递交投标保证金交款凭据，本次投标保证金以银行本票和银行汇票</w:t>
      </w:r>
      <w:r>
        <w:rPr>
          <w:rFonts w:hint="eastAsia" w:ascii="宋体" w:hAnsi="宋体" w:cs="仿宋_GB2312"/>
          <w:b/>
          <w:color w:val="000000"/>
          <w:sz w:val="28"/>
          <w:szCs w:val="28"/>
          <w:lang w:eastAsia="zh-CN"/>
        </w:rPr>
        <w:t>的</w:t>
      </w:r>
      <w:r>
        <w:rPr>
          <w:rFonts w:hint="eastAsia" w:ascii="宋体" w:hAnsi="宋体" w:cs="仿宋_GB2312"/>
          <w:b/>
          <w:color w:val="000000"/>
          <w:sz w:val="28"/>
          <w:szCs w:val="28"/>
        </w:rPr>
        <w:t>形式缴纳，开标前带至开标现场（详见投标保证金条款的相关规定）。</w:t>
      </w:r>
    </w:p>
    <w:p w14:paraId="0598111B">
      <w:pPr>
        <w:keepNext w:val="0"/>
        <w:keepLines w:val="0"/>
        <w:pageBreakBefore w:val="0"/>
        <w:widowControl w:val="0"/>
        <w:kinsoku/>
        <w:wordWrap/>
        <w:overflowPunct/>
        <w:topLinePunct w:val="0"/>
        <w:autoSpaceDE/>
        <w:autoSpaceDN/>
        <w:bidi w:val="0"/>
        <w:adjustRightInd w:val="0"/>
        <w:snapToGrid w:val="0"/>
        <w:spacing w:line="500" w:lineRule="exact"/>
        <w:ind w:left="0" w:firstLine="562" w:firstLineChars="200"/>
        <w:textAlignment w:val="auto"/>
        <w:rPr>
          <w:rFonts w:hint="eastAsia" w:ascii="宋体" w:hAnsi="宋体" w:cs="黑体"/>
          <w:b/>
          <w:bCs/>
          <w:sz w:val="28"/>
          <w:szCs w:val="28"/>
          <w:lang w:val="en-US" w:eastAsia="zh-CN"/>
        </w:rPr>
      </w:pPr>
      <w:r>
        <w:rPr>
          <w:rFonts w:hint="eastAsia" w:ascii="宋体" w:hAnsi="宋体" w:cs="黑体"/>
          <w:b/>
          <w:bCs/>
          <w:sz w:val="28"/>
          <w:szCs w:val="28"/>
          <w:lang w:val="en-US" w:eastAsia="zh-CN"/>
        </w:rPr>
        <w:t>为了提高招标采购效率，节约社会交易成本及时间，希望获取了招标文件，而又决定不参加本次招标的投标人，请在投标截止时间前2天书面或电话告知我们（联系人：王老师/邵老师，办公电话：0515—68661002），对于无故临时放弃投标的投标人，我校将根据情况将投标单位纳入招投标黑名单。对您的支持与配合，谨此致谢。</w:t>
      </w:r>
    </w:p>
    <w:p w14:paraId="1E70C462">
      <w:pPr>
        <w:keepNext w:val="0"/>
        <w:keepLines w:val="0"/>
        <w:pageBreakBefore w:val="0"/>
        <w:widowControl w:val="0"/>
        <w:kinsoku/>
        <w:wordWrap/>
        <w:overflowPunct/>
        <w:topLinePunct w:val="0"/>
        <w:autoSpaceDE/>
        <w:autoSpaceDN/>
        <w:bidi w:val="0"/>
        <w:adjustRightInd w:val="0"/>
        <w:snapToGrid w:val="0"/>
        <w:spacing w:line="500" w:lineRule="exact"/>
        <w:ind w:firstLine="562" w:firstLineChars="200"/>
        <w:textAlignment w:val="auto"/>
        <w:rPr>
          <w:rFonts w:hint="eastAsia" w:ascii="宋体" w:hAnsi="宋体" w:eastAsia="宋体" w:cs="Times New Roman"/>
          <w:b/>
          <w:bCs/>
          <w:color w:val="000000"/>
          <w:sz w:val="28"/>
          <w:szCs w:val="28"/>
          <w:lang w:val="en-US" w:eastAsia="zh-CN"/>
        </w:rPr>
      </w:pPr>
      <w:r>
        <w:rPr>
          <w:rFonts w:hint="eastAsia" w:ascii="宋体" w:hAnsi="宋体" w:eastAsia="宋体" w:cs="Times New Roman"/>
          <w:b/>
          <w:bCs/>
          <w:color w:val="000000"/>
          <w:sz w:val="28"/>
          <w:szCs w:val="28"/>
          <w:lang w:val="en-US" w:eastAsia="zh-CN"/>
        </w:rPr>
        <w:t>七、其他</w:t>
      </w:r>
    </w:p>
    <w:p w14:paraId="29972C52">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为确保校园安全，投标人进入江苏省盐城技师学院文港路校区时应服从下列规定：</w:t>
      </w:r>
    </w:p>
    <w:p w14:paraId="086C4792">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（1）投标人从学校东大门进出；投标人车辆一律不得进入校园。</w:t>
      </w:r>
    </w:p>
    <w:p w14:paraId="7D232DEE">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（2）授权代表限1人进入校园，进入校园前须在东大门外相关工作人员处进行信息实名登记。请投标人注意投标截止时间。</w:t>
      </w:r>
    </w:p>
    <w:p w14:paraId="5E45B042">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（3）投标人进入校园后应在指定地点参与投标活动，不到非相关场所活动；投标工作结束后应立即离开校园，不逗留。</w:t>
      </w:r>
    </w:p>
    <w:p w14:paraId="24079FDB">
      <w:pPr>
        <w:keepNext w:val="0"/>
        <w:keepLines w:val="0"/>
        <w:pageBreakBefore w:val="0"/>
        <w:widowControl w:val="0"/>
        <w:kinsoku/>
        <w:wordWrap/>
        <w:overflowPunct/>
        <w:topLinePunct w:val="0"/>
        <w:autoSpaceDE/>
        <w:autoSpaceDN/>
        <w:bidi w:val="0"/>
        <w:adjustRightInd/>
        <w:snapToGrid/>
        <w:spacing w:line="500" w:lineRule="exact"/>
        <w:ind w:left="0" w:firstLine="562" w:firstLineChars="200"/>
        <w:textAlignment w:val="auto"/>
        <w:rPr>
          <w:rFonts w:hint="eastAsia" w:ascii="宋体" w:hAnsi="宋体" w:cs="黑体"/>
          <w:b/>
          <w:bCs/>
          <w:sz w:val="28"/>
          <w:szCs w:val="28"/>
          <w:lang w:val="en-US" w:eastAsia="zh-CN"/>
        </w:rPr>
      </w:pPr>
      <w:r>
        <w:rPr>
          <w:rFonts w:hint="eastAsia" w:ascii="宋体" w:hAnsi="宋体" w:cs="黑体"/>
          <w:b/>
          <w:bCs/>
          <w:sz w:val="28"/>
          <w:szCs w:val="28"/>
          <w:lang w:val="en-US" w:eastAsia="zh-CN"/>
        </w:rPr>
        <w:t>八、采购人联系方式</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9"/>
        <w:gridCol w:w="6713"/>
      </w:tblGrid>
      <w:tr w14:paraId="5A7C3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09" w:type="dxa"/>
          </w:tcPr>
          <w:p w14:paraId="513C05D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s="黑体"/>
                <w:b/>
                <w:bCs/>
                <w:sz w:val="28"/>
                <w:szCs w:val="28"/>
                <w:vertAlign w:val="baseline"/>
                <w:lang w:val="en-US" w:eastAsia="zh-CN"/>
              </w:rPr>
            </w:pPr>
            <w:r>
              <w:rPr>
                <w:rFonts w:hint="eastAsia" w:ascii="仿宋" w:hAnsi="仿宋" w:eastAsia="仿宋" w:cs="仿宋"/>
                <w:color w:val="000000"/>
                <w:sz w:val="28"/>
                <w:szCs w:val="28"/>
                <w:u w:val="none"/>
              </w:rPr>
              <w:t>联系人</w:t>
            </w:r>
          </w:p>
        </w:tc>
        <w:tc>
          <w:tcPr>
            <w:tcW w:w="6713" w:type="dxa"/>
          </w:tcPr>
          <w:p w14:paraId="04599A6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s="黑体" w:eastAsiaTheme="minorEastAsia"/>
                <w:b/>
                <w:bCs/>
                <w:sz w:val="28"/>
                <w:szCs w:val="28"/>
                <w:vertAlign w:val="baseline"/>
                <w:lang w:val="en-US" w:eastAsia="zh-CN"/>
              </w:rPr>
            </w:pPr>
            <w:r>
              <w:rPr>
                <w:rFonts w:hint="eastAsia" w:ascii="仿宋" w:hAnsi="仿宋" w:eastAsia="仿宋" w:cs="仿宋"/>
                <w:color w:val="000000"/>
                <w:sz w:val="28"/>
                <w:szCs w:val="28"/>
                <w:u w:val="none"/>
                <w:lang w:val="en-US" w:eastAsia="zh-CN"/>
              </w:rPr>
              <w:t>王老师/邵老师</w:t>
            </w:r>
          </w:p>
        </w:tc>
      </w:tr>
      <w:tr w14:paraId="25AFB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14:paraId="718B675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s="黑体"/>
                <w:b/>
                <w:bCs/>
                <w:sz w:val="28"/>
                <w:szCs w:val="28"/>
                <w:vertAlign w:val="baseline"/>
                <w:lang w:val="en-US" w:eastAsia="zh-CN"/>
              </w:rPr>
            </w:pPr>
            <w:r>
              <w:rPr>
                <w:rFonts w:hint="eastAsia" w:ascii="仿宋" w:hAnsi="仿宋" w:eastAsia="仿宋" w:cs="仿宋"/>
                <w:color w:val="000000"/>
                <w:sz w:val="28"/>
                <w:szCs w:val="28"/>
                <w:u w:val="none"/>
              </w:rPr>
              <w:t>电 话</w:t>
            </w:r>
          </w:p>
        </w:tc>
        <w:tc>
          <w:tcPr>
            <w:tcW w:w="6713" w:type="dxa"/>
          </w:tcPr>
          <w:p w14:paraId="1A0682E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s="黑体"/>
                <w:b/>
                <w:bCs/>
                <w:sz w:val="28"/>
                <w:szCs w:val="28"/>
                <w:vertAlign w:val="baseline"/>
                <w:lang w:val="en-US" w:eastAsia="zh-CN"/>
              </w:rPr>
            </w:pPr>
            <w:r>
              <w:rPr>
                <w:rFonts w:hint="eastAsia" w:ascii="仿宋" w:hAnsi="仿宋" w:eastAsia="仿宋" w:cs="仿宋"/>
                <w:color w:val="000000"/>
                <w:sz w:val="28"/>
                <w:szCs w:val="28"/>
                <w:u w:val="none"/>
              </w:rPr>
              <w:t>0515-68661002，13</w:t>
            </w:r>
            <w:r>
              <w:rPr>
                <w:rFonts w:hint="eastAsia" w:ascii="仿宋" w:hAnsi="仿宋" w:eastAsia="仿宋" w:cs="仿宋"/>
                <w:color w:val="000000"/>
                <w:sz w:val="28"/>
                <w:szCs w:val="28"/>
                <w:u w:val="none"/>
                <w:lang w:val="en-US" w:eastAsia="zh-CN"/>
              </w:rPr>
              <w:t>056150848/13905109103</w:t>
            </w:r>
          </w:p>
        </w:tc>
      </w:tr>
      <w:tr w14:paraId="77697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14:paraId="664D7F2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s="黑体"/>
                <w:b/>
                <w:bCs/>
                <w:sz w:val="28"/>
                <w:szCs w:val="28"/>
                <w:vertAlign w:val="baseline"/>
                <w:lang w:val="en-US" w:eastAsia="zh-CN"/>
              </w:rPr>
            </w:pPr>
            <w:r>
              <w:rPr>
                <w:rFonts w:hint="eastAsia" w:ascii="仿宋" w:hAnsi="仿宋" w:eastAsia="仿宋" w:cs="仿宋"/>
                <w:color w:val="000000"/>
                <w:sz w:val="28"/>
                <w:szCs w:val="28"/>
                <w:u w:val="none"/>
                <w:lang w:val="zh-CN"/>
              </w:rPr>
              <w:t>联系地址</w:t>
            </w:r>
          </w:p>
        </w:tc>
        <w:tc>
          <w:tcPr>
            <w:tcW w:w="6713" w:type="dxa"/>
          </w:tcPr>
          <w:p w14:paraId="68F4521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s="黑体"/>
                <w:b/>
                <w:bCs/>
                <w:sz w:val="28"/>
                <w:szCs w:val="28"/>
                <w:vertAlign w:val="baseline"/>
                <w:lang w:val="en-US" w:eastAsia="zh-CN"/>
              </w:rPr>
            </w:pPr>
            <w:r>
              <w:rPr>
                <w:rFonts w:hint="eastAsia" w:ascii="仿宋" w:hAnsi="仿宋" w:eastAsia="仿宋" w:cs="仿宋"/>
                <w:sz w:val="28"/>
                <w:szCs w:val="28"/>
                <w:lang w:val="en-US" w:eastAsia="zh-CN"/>
              </w:rPr>
              <w:t>盐城市盐都区海洋路29号匠心楼14楼1412办公室</w:t>
            </w:r>
          </w:p>
        </w:tc>
      </w:tr>
    </w:tbl>
    <w:p w14:paraId="20DFED74">
      <w:pPr>
        <w:spacing w:beforeLines="50" w:afterLines="50" w:line="480" w:lineRule="exact"/>
        <w:jc w:val="center"/>
        <w:rPr>
          <w:rFonts w:hint="eastAsia" w:eastAsia="黑体"/>
          <w:sz w:val="44"/>
        </w:rPr>
      </w:pPr>
      <w:bookmarkStart w:id="0" w:name="_GoBack"/>
      <w:bookmarkEnd w:id="0"/>
    </w:p>
    <w:p w14:paraId="69872FFF">
      <w:pPr>
        <w:spacing w:beforeLines="50" w:afterLines="50" w:line="480" w:lineRule="exact"/>
        <w:jc w:val="center"/>
        <w:rPr>
          <w:rFonts w:hint="eastAsia" w:eastAsia="黑体"/>
          <w:sz w:val="44"/>
        </w:rPr>
      </w:pPr>
    </w:p>
    <w:p w14:paraId="7FFCAE60">
      <w:pPr>
        <w:spacing w:beforeLines="50" w:afterLines="50" w:line="480" w:lineRule="exact"/>
        <w:jc w:val="center"/>
        <w:rPr>
          <w:rFonts w:hint="eastAsia" w:eastAsia="黑体"/>
          <w:sz w:val="44"/>
        </w:rPr>
      </w:pPr>
    </w:p>
    <w:p w14:paraId="6B6F31EF">
      <w:pPr>
        <w:ind w:firstLine="4620" w:firstLineChars="2200"/>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Cambria">
    <w:panose1 w:val="02040503050406030204"/>
    <w:charset w:val="00"/>
    <w:family w:val="auto"/>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CCE5D8">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BC7439">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DBC7439">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00213CB6"/>
    <w:rsid w:val="001140BF"/>
    <w:rsid w:val="00213CB6"/>
    <w:rsid w:val="00246D29"/>
    <w:rsid w:val="004C09A2"/>
    <w:rsid w:val="006D0AE1"/>
    <w:rsid w:val="00A70E0B"/>
    <w:rsid w:val="00AA5F93"/>
    <w:rsid w:val="00C638A7"/>
    <w:rsid w:val="00C919D7"/>
    <w:rsid w:val="00D24EA2"/>
    <w:rsid w:val="00D30B58"/>
    <w:rsid w:val="00DD0D01"/>
    <w:rsid w:val="00DD2936"/>
    <w:rsid w:val="00E24FBE"/>
    <w:rsid w:val="00E415CF"/>
    <w:rsid w:val="013146F2"/>
    <w:rsid w:val="017C259E"/>
    <w:rsid w:val="01A71BCD"/>
    <w:rsid w:val="026A4D86"/>
    <w:rsid w:val="075C1891"/>
    <w:rsid w:val="0AAB0BFB"/>
    <w:rsid w:val="0DDB1868"/>
    <w:rsid w:val="0EB462E7"/>
    <w:rsid w:val="13B11431"/>
    <w:rsid w:val="16140BEF"/>
    <w:rsid w:val="18B73AFD"/>
    <w:rsid w:val="1A5C1465"/>
    <w:rsid w:val="1FD15D2F"/>
    <w:rsid w:val="2D4E4343"/>
    <w:rsid w:val="326A3EDF"/>
    <w:rsid w:val="38412B71"/>
    <w:rsid w:val="3AAA76E4"/>
    <w:rsid w:val="3E5F540E"/>
    <w:rsid w:val="44250320"/>
    <w:rsid w:val="45BD4AD4"/>
    <w:rsid w:val="4E1A61B3"/>
    <w:rsid w:val="5A423FC7"/>
    <w:rsid w:val="5FC8785E"/>
    <w:rsid w:val="62F835B8"/>
    <w:rsid w:val="643139E2"/>
    <w:rsid w:val="6C4F6D8A"/>
    <w:rsid w:val="70374158"/>
    <w:rsid w:val="706E1B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nhideWhenUsed="0" w:uiPriority="9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5"/>
    <w:qFormat/>
    <w:uiPriority w:val="99"/>
    <w:pPr>
      <w:keepNext/>
      <w:keepLines/>
      <w:spacing w:before="260" w:after="260" w:line="415" w:lineRule="auto"/>
      <w:outlineLvl w:val="1"/>
    </w:pPr>
    <w:rPr>
      <w:rFonts w:ascii="Arial" w:hAnsi="Arial" w:eastAsia="黑体" w:cs="Times New Roman"/>
      <w:b/>
      <w:bCs/>
      <w:sz w:val="32"/>
      <w:szCs w:val="32"/>
    </w:rPr>
  </w:style>
  <w:style w:type="paragraph" w:styleId="3">
    <w:name w:val="heading 3"/>
    <w:basedOn w:val="1"/>
    <w:next w:val="1"/>
    <w:link w:val="16"/>
    <w:qFormat/>
    <w:uiPriority w:val="99"/>
    <w:pPr>
      <w:keepNext/>
      <w:keepLines/>
      <w:spacing w:before="260" w:after="260" w:line="415" w:lineRule="auto"/>
      <w:outlineLvl w:val="2"/>
    </w:pPr>
    <w:rPr>
      <w:rFonts w:ascii="Calibri" w:hAnsi="Calibri" w:eastAsia="宋体" w:cs="Calibri"/>
      <w:b/>
      <w:bCs/>
      <w:sz w:val="32"/>
      <w:szCs w:val="32"/>
    </w:rPr>
  </w:style>
  <w:style w:type="character" w:default="1" w:styleId="13">
    <w:name w:val="Default Paragraph Font"/>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7"/>
    <w:unhideWhenUsed/>
    <w:qFormat/>
    <w:uiPriority w:val="99"/>
    <w:pPr>
      <w:spacing w:before="100" w:beforeAutospacing="1" w:after="120"/>
    </w:pPr>
    <w:rPr>
      <w:rFonts w:ascii="Calibri" w:hAnsi="Calibri" w:eastAsia="宋体" w:cs="Calibri"/>
      <w:szCs w:val="21"/>
    </w:rPr>
  </w:style>
  <w:style w:type="paragraph" w:styleId="5">
    <w:name w:val="Body Text Indent"/>
    <w:basedOn w:val="1"/>
    <w:link w:val="19"/>
    <w:unhideWhenUsed/>
    <w:qFormat/>
    <w:uiPriority w:val="99"/>
    <w:pPr>
      <w:spacing w:before="100" w:beforeAutospacing="1" w:after="100" w:afterAutospacing="1"/>
      <w:ind w:left="-105" w:firstLine="232" w:firstLineChars="232"/>
    </w:pPr>
    <w:rPr>
      <w:rFonts w:ascii="Calibri" w:hAnsi="Calibri" w:eastAsia="仿宋_GB2312" w:cs="Calibri"/>
      <w:sz w:val="32"/>
      <w:szCs w:val="32"/>
    </w:rPr>
  </w:style>
  <w:style w:type="paragraph" w:styleId="6">
    <w:name w:val="Plain Text"/>
    <w:basedOn w:val="1"/>
    <w:link w:val="20"/>
    <w:unhideWhenUsed/>
    <w:qFormat/>
    <w:uiPriority w:val="99"/>
    <w:rPr>
      <w:rFonts w:ascii="宋体" w:hAnsi="Courier New" w:eastAsia="宋体" w:cs="Courier New"/>
      <w:szCs w:val="21"/>
    </w:rPr>
  </w:style>
  <w:style w:type="paragraph" w:styleId="7">
    <w:name w:val="footer"/>
    <w:basedOn w:val="1"/>
    <w:link w:val="21"/>
    <w:unhideWhenUsed/>
    <w:qFormat/>
    <w:uiPriority w:val="99"/>
    <w:pPr>
      <w:snapToGrid w:val="0"/>
      <w:jc w:val="left"/>
    </w:pPr>
    <w:rPr>
      <w:rFonts w:ascii="Calibri" w:hAnsi="Calibri" w:eastAsia="宋体" w:cs="Calibri"/>
      <w:sz w:val="18"/>
      <w:szCs w:val="18"/>
    </w:rPr>
  </w:style>
  <w:style w:type="paragraph" w:styleId="8">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widowControl/>
      <w:spacing w:before="100" w:beforeAutospacing="1" w:after="100" w:afterAutospacing="1"/>
      <w:jc w:val="left"/>
    </w:pPr>
    <w:rPr>
      <w:rFonts w:ascii="宋体" w:hAnsi="宋体"/>
      <w:color w:val="000000"/>
      <w:kern w:val="0"/>
      <w:sz w:val="24"/>
    </w:rPr>
  </w:style>
  <w:style w:type="paragraph" w:styleId="10">
    <w:name w:val="Body Text First Indent"/>
    <w:basedOn w:val="4"/>
    <w:next w:val="1"/>
    <w:link w:val="18"/>
    <w:unhideWhenUsed/>
    <w:qFormat/>
    <w:uiPriority w:val="99"/>
    <w:pPr>
      <w:ind w:firstLine="420" w:firstLineChars="100"/>
    </w:p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qFormat/>
    <w:uiPriority w:val="0"/>
    <w:rPr>
      <w:rFonts w:ascii="Tahoma" w:hAnsi="Tahoma" w:eastAsia="宋体"/>
      <w:b/>
      <w:bCs/>
      <w:spacing w:val="10"/>
      <w:sz w:val="24"/>
      <w:lang w:val="en-US" w:eastAsia="zh-CN" w:bidi="ar-SA"/>
    </w:rPr>
  </w:style>
  <w:style w:type="character" w:customStyle="1" w:styleId="15">
    <w:name w:val="标题 2 Char"/>
    <w:basedOn w:val="13"/>
    <w:link w:val="2"/>
    <w:qFormat/>
    <w:uiPriority w:val="99"/>
    <w:rPr>
      <w:rFonts w:ascii="Arial" w:hAnsi="Arial" w:eastAsia="黑体" w:cs="Times New Roman"/>
      <w:b/>
      <w:bCs/>
      <w:sz w:val="32"/>
      <w:szCs w:val="32"/>
    </w:rPr>
  </w:style>
  <w:style w:type="character" w:customStyle="1" w:styleId="16">
    <w:name w:val="标题 3 Char"/>
    <w:basedOn w:val="13"/>
    <w:link w:val="3"/>
    <w:qFormat/>
    <w:uiPriority w:val="99"/>
    <w:rPr>
      <w:rFonts w:ascii="Calibri" w:hAnsi="Calibri" w:eastAsia="宋体" w:cs="Calibri"/>
      <w:b/>
      <w:bCs/>
      <w:sz w:val="32"/>
      <w:szCs w:val="32"/>
    </w:rPr>
  </w:style>
  <w:style w:type="character" w:customStyle="1" w:styleId="17">
    <w:name w:val="正文文本 Char"/>
    <w:basedOn w:val="13"/>
    <w:link w:val="4"/>
    <w:qFormat/>
    <w:uiPriority w:val="99"/>
    <w:rPr>
      <w:rFonts w:ascii="Calibri" w:hAnsi="Calibri" w:eastAsia="宋体" w:cs="Calibri"/>
      <w:szCs w:val="21"/>
    </w:rPr>
  </w:style>
  <w:style w:type="character" w:customStyle="1" w:styleId="18">
    <w:name w:val="正文首行缩进 Char"/>
    <w:basedOn w:val="17"/>
    <w:link w:val="10"/>
    <w:qFormat/>
    <w:uiPriority w:val="99"/>
    <w:rPr>
      <w:rFonts w:ascii="Calibri" w:hAnsi="Calibri" w:eastAsia="宋体" w:cs="Calibri"/>
      <w:szCs w:val="21"/>
    </w:rPr>
  </w:style>
  <w:style w:type="character" w:customStyle="1" w:styleId="19">
    <w:name w:val="正文文本缩进 Char"/>
    <w:basedOn w:val="13"/>
    <w:link w:val="5"/>
    <w:qFormat/>
    <w:uiPriority w:val="99"/>
    <w:rPr>
      <w:rFonts w:ascii="Calibri" w:hAnsi="Calibri" w:eastAsia="仿宋_GB2312" w:cs="Calibri"/>
      <w:sz w:val="32"/>
      <w:szCs w:val="32"/>
    </w:rPr>
  </w:style>
  <w:style w:type="character" w:customStyle="1" w:styleId="20">
    <w:name w:val="纯文本 Char"/>
    <w:basedOn w:val="13"/>
    <w:link w:val="6"/>
    <w:qFormat/>
    <w:uiPriority w:val="99"/>
    <w:rPr>
      <w:rFonts w:ascii="宋体" w:hAnsi="Courier New" w:eastAsia="宋体" w:cs="Courier New"/>
      <w:szCs w:val="21"/>
    </w:rPr>
  </w:style>
  <w:style w:type="character" w:customStyle="1" w:styleId="21">
    <w:name w:val="页脚 Char"/>
    <w:basedOn w:val="13"/>
    <w:link w:val="7"/>
    <w:qFormat/>
    <w:uiPriority w:val="99"/>
    <w:rPr>
      <w:rFonts w:ascii="Calibri" w:hAnsi="Calibri" w:eastAsia="宋体" w:cs="Calibri"/>
      <w:sz w:val="18"/>
      <w:szCs w:val="18"/>
    </w:rPr>
  </w:style>
  <w:style w:type="paragraph" w:customStyle="1" w:styleId="22">
    <w:name w:val="图"/>
    <w:basedOn w:val="1"/>
    <w:qFormat/>
    <w:uiPriority w:val="0"/>
    <w:pPr>
      <w:keepNext/>
      <w:adjustRightInd w:val="0"/>
      <w:spacing w:before="60" w:after="60" w:line="300" w:lineRule="auto"/>
      <w:jc w:val="center"/>
      <w:textAlignment w:val="center"/>
    </w:pPr>
    <w:rPr>
      <w:rFonts w:ascii="Cambria" w:hAnsi="Cambria" w:eastAsia="宋体" w:cs="Times New Roman"/>
      <w:snapToGrid w:val="0"/>
      <w:spacing w:val="20"/>
      <w:kern w:val="0"/>
      <w:sz w:val="24"/>
      <w:szCs w:val="20"/>
    </w:rPr>
  </w:style>
  <w:style w:type="paragraph" w:customStyle="1" w:styleId="23">
    <w:name w:val="正文空2格  1."/>
    <w:basedOn w:val="1"/>
    <w:qFormat/>
    <w:uiPriority w:val="99"/>
    <w:pPr>
      <w:adjustRightInd w:val="0"/>
      <w:spacing w:line="360" w:lineRule="auto"/>
      <w:ind w:firstLine="200" w:firstLineChars="200"/>
      <w:textAlignment w:val="baseline"/>
    </w:pPr>
    <w:rPr>
      <w:rFonts w:ascii="宋体" w:hAnsi="宋体" w:eastAsia="仿宋" w:cs="宋体"/>
      <w:kern w:val="0"/>
      <w:sz w:val="28"/>
      <w:szCs w:val="20"/>
    </w:rPr>
  </w:style>
  <w:style w:type="paragraph" w:customStyle="1" w:styleId="24">
    <w:name w:val="正文 1.1.1"/>
    <w:basedOn w:val="1"/>
    <w:next w:val="1"/>
    <w:qFormat/>
    <w:uiPriority w:val="99"/>
    <w:pPr>
      <w:adjustRightInd w:val="0"/>
      <w:spacing w:line="360" w:lineRule="auto"/>
      <w:textAlignment w:val="baseline"/>
      <w:outlineLvl w:val="2"/>
    </w:pPr>
    <w:rPr>
      <w:rFonts w:ascii="宋体" w:hAnsi="宋体" w:eastAsia="仿宋"/>
      <w:kern w:val="0"/>
      <w:sz w:val="28"/>
      <w:szCs w:val="21"/>
    </w:rPr>
  </w:style>
  <w:style w:type="paragraph" w:customStyle="1" w:styleId="25">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14794</Words>
  <Characters>15623</Characters>
  <Lines>50</Lines>
  <Paragraphs>14</Paragraphs>
  <TotalTime>3</TotalTime>
  <ScaleCrop>false</ScaleCrop>
  <LinksUpToDate>false</LinksUpToDate>
  <CharactersWithSpaces>16545</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2023-05-23T02:11:00Z</dcterms:created>
  <dc:creator>xb21cn</dc:creator>
  <cp:lastModifiedBy>小壮</cp:lastModifiedBy>
  <cp:lastPrinted>2024-08-23T08:00:00Z</cp:lastPrinted>
  <dcterms:modified xsi:type="dcterms:W3CDTF">2024-09-13T03:29:36Z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11C004664394468BB9D956D38E1DA65F_13</vt:lpwstr>
  </property>
</Properties>
</file>