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245E69">
      <w:pPr>
        <w:tabs>
          <w:tab w:val="left" w:pos="2600"/>
        </w:tabs>
        <w:spacing w:before="156" w:beforeLines="50" w:after="156" w:afterLines="50"/>
        <w:jc w:val="center"/>
        <w:rPr>
          <w:rFonts w:ascii="宋体" w:hAnsi="宋体"/>
          <w:color w:val="000000"/>
          <w:sz w:val="44"/>
        </w:rPr>
      </w:pPr>
      <w:r>
        <w:rPr>
          <w:rFonts w:hint="eastAsia" w:ascii="宋体" w:hAnsi="宋体"/>
          <w:color w:val="000000"/>
          <w:sz w:val="44"/>
          <w:lang w:eastAsia="zh-CN"/>
        </w:rPr>
        <w:t>招标</w:t>
      </w:r>
      <w:r>
        <w:rPr>
          <w:rFonts w:hint="eastAsia" w:ascii="宋体" w:hAnsi="宋体"/>
          <w:color w:val="000000"/>
          <w:sz w:val="44"/>
        </w:rPr>
        <w:t>公告</w:t>
      </w:r>
    </w:p>
    <w:p w14:paraId="42950B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根据《中华人民共和国招投标法》、《中华人民共和国政府采购法》等法律、法规的规定，现就</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lang w:eastAsia="zh-CN"/>
        </w:rPr>
        <w:t>年食堂食品原材料集中采购</w:t>
      </w:r>
      <w:r>
        <w:rPr>
          <w:rFonts w:hint="eastAsia" w:ascii="宋体" w:hAnsi="宋体" w:cs="仿宋_GB2312"/>
          <w:color w:val="000000"/>
          <w:sz w:val="28"/>
          <w:szCs w:val="28"/>
          <w:lang w:val="zh-TW"/>
        </w:rPr>
        <w:t>项目</w:t>
      </w:r>
      <w:r>
        <w:rPr>
          <w:rFonts w:hint="eastAsia" w:ascii="宋体" w:hAnsi="宋体" w:cs="仿宋_GB2312"/>
          <w:color w:val="000000"/>
          <w:sz w:val="28"/>
          <w:szCs w:val="28"/>
        </w:rPr>
        <w:t>进行</w:t>
      </w:r>
      <w:r>
        <w:rPr>
          <w:rFonts w:hint="eastAsia" w:ascii="宋体" w:hAnsi="宋体" w:cs="仿宋_GB2312"/>
          <w:color w:val="000000"/>
          <w:sz w:val="28"/>
          <w:szCs w:val="28"/>
          <w:u w:val="single"/>
          <w:lang w:eastAsia="zh-CN"/>
        </w:rPr>
        <w:t>公开招标</w:t>
      </w:r>
      <w:r>
        <w:rPr>
          <w:rFonts w:hint="eastAsia" w:ascii="宋体" w:hAnsi="宋体" w:cs="仿宋_GB2312"/>
          <w:color w:val="000000"/>
          <w:sz w:val="28"/>
          <w:szCs w:val="28"/>
        </w:rPr>
        <w:t>采购，欢迎符合资格的投标人参加投标。</w:t>
      </w:r>
    </w:p>
    <w:p w14:paraId="0B4950EF">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rPr>
        <w:t>一、招标项目</w:t>
      </w:r>
    </w:p>
    <w:p w14:paraId="23BDF057">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1.基本情况</w:t>
      </w:r>
    </w:p>
    <w:p w14:paraId="140F46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江苏省盐城技师学院共有师生员工15000人左右，学校实行半封闭管理，设有文港中路、海洋路校区两个校区共5个学生餐厅，2个教工餐厅。</w:t>
      </w:r>
    </w:p>
    <w:p w14:paraId="22EE5915">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2.具体项目</w:t>
      </w:r>
    </w:p>
    <w:p w14:paraId="54563D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rPr>
        <w:t>食品原材</w:t>
      </w:r>
      <w:r>
        <w:rPr>
          <w:rFonts w:hint="eastAsia" w:ascii="仿宋" w:hAnsi="仿宋" w:eastAsia="仿宋" w:cs="仿宋"/>
          <w:sz w:val="28"/>
          <w:szCs w:val="28"/>
          <w:highlight w:val="none"/>
        </w:rPr>
        <w:t>料：包括大米</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含面粉）</w:t>
      </w:r>
      <w:r>
        <w:rPr>
          <w:rFonts w:hint="eastAsia" w:ascii="仿宋" w:hAnsi="仿宋" w:eastAsia="仿宋" w:cs="仿宋"/>
          <w:sz w:val="28"/>
          <w:szCs w:val="28"/>
          <w:highlight w:val="none"/>
        </w:rPr>
        <w:t>、食用油</w:t>
      </w:r>
      <w:r>
        <w:rPr>
          <w:rFonts w:hint="eastAsia" w:ascii="仿宋" w:hAnsi="仿宋" w:eastAsia="仿宋" w:cs="仿宋"/>
          <w:sz w:val="28"/>
          <w:szCs w:val="28"/>
          <w:highlight w:val="none"/>
          <w:lang w:eastAsia="zh-CN"/>
        </w:rPr>
        <w:t>（</w:t>
      </w:r>
      <w:r>
        <w:rPr>
          <w:rFonts w:hint="eastAsia" w:ascii="仿宋" w:hAnsi="仿宋" w:eastAsia="仿宋" w:cs="仿宋"/>
          <w:bCs/>
          <w:sz w:val="28"/>
          <w:szCs w:val="28"/>
          <w:highlight w:val="none"/>
        </w:rPr>
        <w:t>非转基因</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、猪肉、鸡蛋、冻品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及调理品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、蔬菜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含</w:t>
      </w:r>
      <w:r>
        <w:rPr>
          <w:rFonts w:hint="eastAsia" w:ascii="仿宋" w:hAnsi="仿宋" w:eastAsia="仿宋" w:cs="仿宋"/>
          <w:sz w:val="28"/>
          <w:szCs w:val="28"/>
          <w:highlight w:val="none"/>
        </w:rPr>
        <w:t>豆制品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、调味品（含干货）等</w:t>
      </w:r>
      <w:r>
        <w:rPr>
          <w:rFonts w:hint="eastAsia" w:ascii="仿宋" w:hAnsi="仿宋" w:eastAsia="仿宋" w:cs="仿宋"/>
          <w:sz w:val="28"/>
          <w:szCs w:val="28"/>
          <w:highlight w:val="none"/>
          <w:lang w:val="en-US" w:eastAsia="zh-CN"/>
        </w:rPr>
        <w:t>七</w:t>
      </w:r>
      <w:r>
        <w:rPr>
          <w:rFonts w:hint="eastAsia" w:ascii="仿宋" w:hAnsi="仿宋" w:eastAsia="仿宋" w:cs="仿宋"/>
          <w:sz w:val="28"/>
          <w:szCs w:val="28"/>
          <w:highlight w:val="none"/>
        </w:rPr>
        <w:t>个标段</w:t>
      </w:r>
      <w:r>
        <w:rPr>
          <w:rFonts w:hint="eastAsia" w:ascii="仿宋" w:hAnsi="仿宋" w:eastAsia="仿宋" w:cs="仿宋"/>
          <w:sz w:val="28"/>
          <w:szCs w:val="28"/>
          <w:highlight w:val="none"/>
          <w:lang w:eastAsia="zh-CN"/>
        </w:rPr>
        <w:t>。</w:t>
      </w:r>
    </w:p>
    <w:p w14:paraId="6B3248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供应数量：每</w:t>
      </w:r>
      <w:r>
        <w:rPr>
          <w:rFonts w:hint="eastAsia" w:ascii="仿宋" w:hAnsi="仿宋" w:eastAsia="仿宋" w:cs="仿宋"/>
          <w:sz w:val="28"/>
          <w:szCs w:val="28"/>
          <w:lang w:val="en-US" w:eastAsia="zh-CN"/>
        </w:rPr>
        <w:t>日</w:t>
      </w:r>
      <w:r>
        <w:rPr>
          <w:rFonts w:hint="eastAsia" w:ascii="仿宋" w:hAnsi="仿宋" w:eastAsia="仿宋" w:cs="仿宋"/>
          <w:sz w:val="28"/>
          <w:szCs w:val="28"/>
        </w:rPr>
        <w:t>约1万人食用量，具体供应数量以实际需求为准（以上数据仅作参考,不作为投标和合同签订与履行的依据）。</w:t>
      </w:r>
    </w:p>
    <w:p w14:paraId="1D0CC9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服务内容：保证</w:t>
      </w:r>
      <w:r>
        <w:rPr>
          <w:rFonts w:hint="eastAsia" w:ascii="仿宋" w:hAnsi="仿宋" w:eastAsia="仿宋" w:cs="仿宋"/>
          <w:sz w:val="28"/>
          <w:szCs w:val="28"/>
          <w:lang w:eastAsia="zh-CN"/>
        </w:rPr>
        <w:t>食堂食品原材料</w:t>
      </w:r>
      <w:r>
        <w:rPr>
          <w:rFonts w:hint="eastAsia" w:ascii="仿宋" w:hAnsi="仿宋" w:eastAsia="仿宋" w:cs="仿宋"/>
          <w:sz w:val="28"/>
          <w:szCs w:val="28"/>
        </w:rPr>
        <w:t>的供应，保质、保量、及时运抵甲方指定餐厅仓库（无论需量的多少，都必须及时送货）；</w:t>
      </w:r>
    </w:p>
    <w:p w14:paraId="2B62CA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质保期：按国家有关规定执行；</w:t>
      </w:r>
    </w:p>
    <w:p w14:paraId="6CD750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sz w:val="28"/>
          <w:szCs w:val="28"/>
        </w:rPr>
        <w:t>质量要求：</w:t>
      </w:r>
      <w:r>
        <w:rPr>
          <w:rFonts w:hint="eastAsia" w:ascii="仿宋" w:hAnsi="仿宋" w:eastAsia="仿宋" w:cs="仿宋"/>
          <w:bCs/>
          <w:sz w:val="28"/>
          <w:szCs w:val="28"/>
        </w:rPr>
        <w:t>1.大米必须符合GB/T 1354-2018标准规定的国家一级米的要求，并具备“QS”食品质量安全认证。</w:t>
      </w:r>
    </w:p>
    <w:p w14:paraId="237115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面粉必须符合GB1355-2021标准规定的中筋小麦粉一级粉的要求，并具备“QS”食品质量安全认证。</w:t>
      </w:r>
    </w:p>
    <w:p w14:paraId="71496B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非转基因食用油符合国家标准GB7653-87、CQC76-000200-2017 非转基因产品身份保持认证规则，并具备“QS”食品质量安全认证。</w:t>
      </w:r>
    </w:p>
    <w:p w14:paraId="2F764B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4</w:t>
      </w:r>
      <w:r>
        <w:rPr>
          <w:rFonts w:hint="eastAsia" w:ascii="仿宋" w:hAnsi="仿宋" w:eastAsia="仿宋" w:cs="仿宋"/>
          <w:bCs/>
          <w:sz w:val="28"/>
          <w:szCs w:val="28"/>
        </w:rPr>
        <w:t>. 猪肉分割产品[（鲜、冻猪肉国家标准GB/T 9959.1-2019 ），每批次均具有动物检验检疫合格证明</w:t>
      </w:r>
      <w:r>
        <w:rPr>
          <w:rFonts w:hint="eastAsia" w:ascii="仿宋" w:hAnsi="仿宋" w:eastAsia="仿宋" w:cs="仿宋"/>
          <w:bCs/>
          <w:sz w:val="28"/>
          <w:szCs w:val="28"/>
          <w:lang w:eastAsia="zh-CN"/>
        </w:rPr>
        <w:t>。</w:t>
      </w:r>
    </w:p>
    <w:p w14:paraId="3A69ED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5.</w:t>
      </w:r>
      <w:r>
        <w:rPr>
          <w:rFonts w:hint="eastAsia" w:ascii="仿宋" w:hAnsi="仿宋" w:eastAsia="仿宋" w:cs="仿宋"/>
          <w:bCs/>
          <w:sz w:val="28"/>
          <w:szCs w:val="28"/>
        </w:rPr>
        <w:t>鸡蛋必须符合GB2749-2015标准规定的质量要求。</w:t>
      </w:r>
    </w:p>
    <w:p w14:paraId="261C1FD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6</w:t>
      </w:r>
      <w:r>
        <w:rPr>
          <w:rFonts w:hint="eastAsia" w:ascii="仿宋" w:hAnsi="仿宋" w:eastAsia="仿宋" w:cs="仿宋"/>
          <w:bCs/>
          <w:sz w:val="28"/>
          <w:szCs w:val="28"/>
        </w:rPr>
        <w:t>.冻品中的畜禽产品必须符合GB2707-2016标准规定的质量要求，其他畜禽加工产品必须符合相关产品国家标准的要求。</w:t>
      </w:r>
    </w:p>
    <w:p w14:paraId="1CA35E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7.</w:t>
      </w:r>
      <w:r>
        <w:rPr>
          <w:rFonts w:hint="eastAsia" w:ascii="仿宋" w:hAnsi="仿宋" w:eastAsia="仿宋" w:cs="仿宋"/>
          <w:bCs/>
          <w:sz w:val="28"/>
          <w:szCs w:val="28"/>
        </w:rPr>
        <w:t>蔬菜必须符合GB2763-2016标准规定的农药残留要求，且符合新鲜无公害蔬菜的要求</w:t>
      </w:r>
      <w:r>
        <w:rPr>
          <w:rFonts w:hint="eastAsia" w:ascii="仿宋" w:hAnsi="仿宋" w:eastAsia="仿宋" w:cs="仿宋"/>
          <w:bCs/>
          <w:sz w:val="28"/>
          <w:szCs w:val="28"/>
          <w:lang w:eastAsia="zh-CN"/>
        </w:rPr>
        <w:t>。</w:t>
      </w:r>
    </w:p>
    <w:p w14:paraId="3D2592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8.</w:t>
      </w:r>
      <w:r>
        <w:rPr>
          <w:rFonts w:hint="eastAsia" w:ascii="仿宋" w:hAnsi="仿宋" w:eastAsia="仿宋" w:cs="仿宋"/>
          <w:bCs/>
          <w:sz w:val="28"/>
          <w:szCs w:val="28"/>
        </w:rPr>
        <w:t>豆制品必须符合GB 2712-2014标准，质量达到盐城市质量监督部门的要求</w:t>
      </w:r>
      <w:r>
        <w:rPr>
          <w:rFonts w:hint="eastAsia" w:ascii="仿宋" w:hAnsi="仿宋" w:eastAsia="仿宋" w:cs="仿宋"/>
          <w:bCs/>
          <w:sz w:val="28"/>
          <w:szCs w:val="28"/>
          <w:lang w:eastAsia="zh-CN"/>
        </w:rPr>
        <w:t>。</w:t>
      </w:r>
    </w:p>
    <w:p w14:paraId="7E4EC5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9</w:t>
      </w:r>
      <w:r>
        <w:rPr>
          <w:rFonts w:hint="eastAsia" w:ascii="仿宋" w:hAnsi="仿宋" w:eastAsia="仿宋" w:cs="仿宋"/>
          <w:bCs/>
          <w:sz w:val="28"/>
          <w:szCs w:val="28"/>
        </w:rPr>
        <w:t>.调味品（含干货）应符合GB/T20903-2007国家标准要求。</w:t>
      </w:r>
    </w:p>
    <w:p w14:paraId="4D3EC973">
      <w:pPr>
        <w:spacing w:before="156" w:beforeLines="50" w:after="156" w:afterLines="50" w:line="500" w:lineRule="exact"/>
        <w:ind w:firstLine="422" w:firstLineChars="200"/>
        <w:rPr>
          <w:rFonts w:hint="eastAsia"/>
          <w:b/>
        </w:rPr>
      </w:pPr>
      <w:r>
        <w:rPr>
          <w:rFonts w:hint="eastAsia"/>
          <w:b/>
        </w:rPr>
        <w:t>二、招标标段如下：</w:t>
      </w:r>
    </w:p>
    <w:tbl>
      <w:tblPr>
        <w:tblStyle w:val="11"/>
        <w:tblW w:w="708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5"/>
        <w:gridCol w:w="4863"/>
      </w:tblGrid>
      <w:tr w14:paraId="5916B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2225" w:type="dxa"/>
            <w:vAlign w:val="center"/>
          </w:tcPr>
          <w:p w14:paraId="6C2B77C0">
            <w:pPr>
              <w:spacing w:before="156" w:beforeLines="50" w:after="156" w:afterLines="50" w:line="500" w:lineRule="exact"/>
              <w:jc w:val="center"/>
              <w:rPr>
                <w:rFonts w:hint="eastAsia"/>
              </w:rPr>
            </w:pPr>
            <w:r>
              <w:rPr>
                <w:rFonts w:hint="eastAsia"/>
              </w:rPr>
              <w:t>项目标段</w:t>
            </w:r>
          </w:p>
        </w:tc>
        <w:tc>
          <w:tcPr>
            <w:tcW w:w="4863" w:type="dxa"/>
            <w:vAlign w:val="center"/>
          </w:tcPr>
          <w:p w14:paraId="5EB9A5AD">
            <w:pPr>
              <w:spacing w:before="156" w:beforeLines="50" w:after="156" w:afterLines="50" w:line="500" w:lineRule="exact"/>
              <w:jc w:val="center"/>
              <w:rPr>
                <w:rFonts w:hint="eastAsia"/>
              </w:rPr>
            </w:pPr>
            <w:r>
              <w:rPr>
                <w:rFonts w:hint="eastAsia"/>
              </w:rPr>
              <w:t>项目名称</w:t>
            </w:r>
          </w:p>
        </w:tc>
      </w:tr>
      <w:tr w14:paraId="6549C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2225" w:type="dxa"/>
            <w:vAlign w:val="center"/>
          </w:tcPr>
          <w:p w14:paraId="0811BBFB">
            <w:pPr>
              <w:spacing w:before="156" w:beforeLines="50" w:after="156" w:afterLines="50" w:line="500" w:lineRule="exact"/>
              <w:jc w:val="center"/>
            </w:pPr>
            <w:r>
              <w:rPr>
                <w:rFonts w:hint="eastAsia"/>
              </w:rPr>
              <w:t>标段1</w:t>
            </w:r>
          </w:p>
        </w:tc>
        <w:tc>
          <w:tcPr>
            <w:tcW w:w="4863" w:type="dxa"/>
            <w:vAlign w:val="center"/>
          </w:tcPr>
          <w:p w14:paraId="7A9A07B8">
            <w:pPr>
              <w:spacing w:before="156" w:beforeLines="50" w:after="156" w:afterLines="50" w:line="500" w:lineRule="exact"/>
              <w:jc w:val="center"/>
              <w:rPr>
                <w:rFonts w:hint="eastAsia" w:eastAsiaTheme="minorEastAsia"/>
                <w:lang w:eastAsia="zh-CN"/>
              </w:rPr>
            </w:pPr>
            <w:r>
              <w:rPr>
                <w:rFonts w:hint="eastAsia"/>
              </w:rPr>
              <w:t>大米</w:t>
            </w:r>
            <w:r>
              <w:rPr>
                <w:rFonts w:hint="eastAsia"/>
                <w:lang w:eastAsia="zh-CN"/>
              </w:rPr>
              <w:t>（</w:t>
            </w:r>
            <w:r>
              <w:rPr>
                <w:rFonts w:hint="eastAsia"/>
                <w:lang w:val="en-US" w:eastAsia="zh-CN"/>
              </w:rPr>
              <w:t>含面粉</w:t>
            </w:r>
            <w:r>
              <w:rPr>
                <w:rFonts w:hint="eastAsia"/>
                <w:lang w:eastAsia="zh-CN"/>
              </w:rPr>
              <w:t>）</w:t>
            </w:r>
          </w:p>
        </w:tc>
      </w:tr>
      <w:tr w14:paraId="1C36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2225" w:type="dxa"/>
            <w:vAlign w:val="center"/>
          </w:tcPr>
          <w:p w14:paraId="16CB15B6">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2</w:t>
            </w:r>
          </w:p>
        </w:tc>
        <w:tc>
          <w:tcPr>
            <w:tcW w:w="4863" w:type="dxa"/>
            <w:vAlign w:val="center"/>
          </w:tcPr>
          <w:p w14:paraId="2A2FE1EB">
            <w:pPr>
              <w:spacing w:before="156" w:beforeLines="50" w:after="156" w:afterLines="50" w:line="500" w:lineRule="exact"/>
              <w:jc w:val="center"/>
            </w:pPr>
            <w:r>
              <w:rPr>
                <w:rFonts w:hint="eastAsia"/>
              </w:rPr>
              <w:t>食用油</w:t>
            </w:r>
            <w:r>
              <w:rPr>
                <w:rFonts w:hint="eastAsia"/>
                <w:lang w:eastAsia="zh-CN"/>
              </w:rPr>
              <w:t>（</w:t>
            </w:r>
            <w:r>
              <w:rPr>
                <w:rFonts w:hint="eastAsia"/>
                <w:bCs/>
              </w:rPr>
              <w:t>非转基因</w:t>
            </w:r>
            <w:r>
              <w:rPr>
                <w:rFonts w:hint="eastAsia"/>
                <w:lang w:eastAsia="zh-CN"/>
              </w:rPr>
              <w:t>）</w:t>
            </w:r>
          </w:p>
        </w:tc>
      </w:tr>
      <w:tr w14:paraId="1BFCE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22E82CB5">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3</w:t>
            </w:r>
          </w:p>
        </w:tc>
        <w:tc>
          <w:tcPr>
            <w:tcW w:w="4863" w:type="dxa"/>
            <w:vAlign w:val="center"/>
          </w:tcPr>
          <w:p w14:paraId="7A08804D">
            <w:pPr>
              <w:spacing w:before="156" w:beforeLines="50" w:after="156" w:afterLines="50" w:line="500" w:lineRule="exact"/>
              <w:jc w:val="center"/>
            </w:pPr>
            <w:r>
              <w:rPr>
                <w:rFonts w:hint="eastAsia"/>
              </w:rPr>
              <w:t>猪肉</w:t>
            </w:r>
          </w:p>
        </w:tc>
      </w:tr>
      <w:tr w14:paraId="5565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79428D36">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4</w:t>
            </w:r>
          </w:p>
        </w:tc>
        <w:tc>
          <w:tcPr>
            <w:tcW w:w="4863" w:type="dxa"/>
            <w:vAlign w:val="center"/>
          </w:tcPr>
          <w:p w14:paraId="43BC52FA">
            <w:pPr>
              <w:spacing w:before="156" w:beforeLines="50" w:after="156" w:afterLines="50" w:line="500" w:lineRule="exact"/>
              <w:jc w:val="center"/>
            </w:pPr>
            <w:r>
              <w:rPr>
                <w:rFonts w:hint="eastAsia"/>
              </w:rPr>
              <w:t>鸡蛋</w:t>
            </w:r>
          </w:p>
        </w:tc>
      </w:tr>
      <w:tr w14:paraId="01C3C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6E624D7B">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5</w:t>
            </w:r>
          </w:p>
        </w:tc>
        <w:tc>
          <w:tcPr>
            <w:tcW w:w="4863" w:type="dxa"/>
            <w:vAlign w:val="center"/>
          </w:tcPr>
          <w:p w14:paraId="13A4E70D">
            <w:pPr>
              <w:spacing w:before="156" w:beforeLines="50" w:after="156" w:afterLines="50" w:line="500" w:lineRule="exact"/>
              <w:jc w:val="center"/>
            </w:pPr>
            <w:r>
              <w:rPr>
                <w:rFonts w:hint="eastAsia"/>
              </w:rPr>
              <w:t>冻品</w:t>
            </w:r>
            <w:r>
              <w:rPr>
                <w:rFonts w:hint="eastAsia"/>
                <w:lang w:eastAsia="zh-CN"/>
              </w:rPr>
              <w:t>（</w:t>
            </w:r>
            <w:r>
              <w:rPr>
                <w:rFonts w:hint="eastAsia"/>
                <w:lang w:val="en-US" w:eastAsia="zh-CN"/>
              </w:rPr>
              <w:t>及调理品</w:t>
            </w:r>
            <w:r>
              <w:rPr>
                <w:rFonts w:hint="eastAsia"/>
                <w:lang w:eastAsia="zh-CN"/>
              </w:rPr>
              <w:t>）</w:t>
            </w:r>
          </w:p>
        </w:tc>
      </w:tr>
      <w:tr w14:paraId="23A62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100C5080">
            <w:pPr>
              <w:spacing w:before="156" w:beforeLines="50" w:after="156" w:afterLines="50" w:line="500" w:lineRule="exact"/>
              <w:jc w:val="center"/>
              <w:rPr>
                <w:rFonts w:hint="eastAsia" w:eastAsiaTheme="minorEastAsia"/>
                <w:lang w:eastAsia="zh-CN"/>
              </w:rPr>
            </w:pPr>
            <w:r>
              <w:rPr>
                <w:rFonts w:hint="eastAsia"/>
              </w:rPr>
              <w:t>标段</w:t>
            </w:r>
            <w:r>
              <w:rPr>
                <w:rFonts w:hint="eastAsia"/>
                <w:lang w:val="en-US" w:eastAsia="zh-CN"/>
              </w:rPr>
              <w:t>6</w:t>
            </w:r>
          </w:p>
        </w:tc>
        <w:tc>
          <w:tcPr>
            <w:tcW w:w="4863" w:type="dxa"/>
            <w:vAlign w:val="center"/>
          </w:tcPr>
          <w:p w14:paraId="77440EAD">
            <w:pPr>
              <w:spacing w:before="156" w:beforeLines="50" w:after="156" w:afterLines="50" w:line="500" w:lineRule="exact"/>
              <w:jc w:val="center"/>
              <w:rPr>
                <w:rFonts w:hint="eastAsia" w:eastAsiaTheme="minorEastAsia"/>
                <w:lang w:eastAsia="zh-CN"/>
              </w:rPr>
            </w:pPr>
            <w:r>
              <w:rPr>
                <w:rFonts w:hint="eastAsia"/>
              </w:rPr>
              <w:t>蔬菜</w:t>
            </w:r>
            <w:r>
              <w:rPr>
                <w:rFonts w:hint="eastAsia"/>
                <w:lang w:eastAsia="zh-CN"/>
              </w:rPr>
              <w:t>（</w:t>
            </w:r>
            <w:r>
              <w:rPr>
                <w:rFonts w:hint="eastAsia"/>
                <w:lang w:val="en-US" w:eastAsia="zh-CN"/>
              </w:rPr>
              <w:t>含豆制品</w:t>
            </w:r>
            <w:r>
              <w:rPr>
                <w:rFonts w:hint="eastAsia"/>
                <w:lang w:eastAsia="zh-CN"/>
              </w:rPr>
              <w:t>）</w:t>
            </w:r>
          </w:p>
        </w:tc>
      </w:tr>
      <w:tr w14:paraId="72F2A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60DF84BD">
            <w:pPr>
              <w:spacing w:before="156" w:beforeLines="50" w:after="156" w:afterLines="50" w:line="500" w:lineRule="exact"/>
              <w:jc w:val="center"/>
              <w:rPr>
                <w:rFonts w:hint="eastAsia" w:eastAsiaTheme="minorEastAsia"/>
                <w:lang w:eastAsia="zh-CN"/>
              </w:rPr>
            </w:pPr>
            <w:r>
              <w:rPr>
                <w:rFonts w:hint="eastAsia"/>
              </w:rPr>
              <w:t>标段</w:t>
            </w:r>
            <w:r>
              <w:rPr>
                <w:rFonts w:hint="eastAsia"/>
                <w:lang w:val="en-US" w:eastAsia="zh-CN"/>
              </w:rPr>
              <w:t>7</w:t>
            </w:r>
          </w:p>
        </w:tc>
        <w:tc>
          <w:tcPr>
            <w:tcW w:w="4863" w:type="dxa"/>
            <w:vAlign w:val="center"/>
          </w:tcPr>
          <w:p w14:paraId="0432A98F">
            <w:pPr>
              <w:spacing w:before="156" w:beforeLines="50" w:after="156" w:afterLines="50" w:line="500" w:lineRule="exact"/>
              <w:jc w:val="center"/>
            </w:pPr>
            <w:r>
              <w:rPr>
                <w:rFonts w:hint="eastAsia"/>
              </w:rPr>
              <w:t>调味品（含干货）</w:t>
            </w:r>
          </w:p>
        </w:tc>
      </w:tr>
    </w:tbl>
    <w:p w14:paraId="3436D7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备注：</w:t>
      </w:r>
    </w:p>
    <w:p w14:paraId="5E7B5A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中标供应人在供应过程中，如果发生所售商品出现质量问题或造成食物中毒，经查实确属供方责任，中标供应人要承担全部责任，主要包括食物中毒人员医疗费、误工费、事故处理费等一切善后处置费用。如因此而导致招标人连带责任的，产生的费用与责任也由投标人承担。</w:t>
      </w:r>
    </w:p>
    <w:p w14:paraId="064514E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2.本项目分为</w:t>
      </w:r>
      <w:r>
        <w:rPr>
          <w:rFonts w:hint="eastAsia"/>
          <w:bCs/>
          <w:sz w:val="28"/>
          <w:szCs w:val="28"/>
          <w:lang w:val="en-US" w:eastAsia="zh-CN"/>
        </w:rPr>
        <w:t>7</w:t>
      </w:r>
      <w:r>
        <w:rPr>
          <w:rFonts w:hint="eastAsia"/>
          <w:bCs/>
          <w:sz w:val="28"/>
          <w:szCs w:val="28"/>
        </w:rPr>
        <w:t>个标段，投标人兼投兼中，多标段投标的投标人需分标段制作、封装投标文件。</w:t>
      </w:r>
    </w:p>
    <w:p w14:paraId="267AB1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Theme="minorEastAsia"/>
          <w:bCs/>
          <w:sz w:val="28"/>
          <w:szCs w:val="28"/>
          <w:highlight w:val="none"/>
          <w:lang w:val="en-US" w:eastAsia="zh-CN"/>
        </w:rPr>
      </w:pPr>
      <w:r>
        <w:rPr>
          <w:rFonts w:hint="eastAsia"/>
          <w:bCs/>
          <w:sz w:val="28"/>
          <w:szCs w:val="28"/>
          <w:highlight w:val="none"/>
          <w:lang w:val="en-US" w:eastAsia="zh-CN"/>
        </w:rPr>
        <w:t>3.标段1、2、3、4、5、6、7履约保证金均为2万元。</w:t>
      </w:r>
    </w:p>
    <w:p w14:paraId="4F497B44">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三</w:t>
      </w:r>
      <w:r>
        <w:rPr>
          <w:rFonts w:hint="eastAsia" w:ascii="宋体" w:hAnsi="宋体" w:cs="黑体"/>
          <w:b/>
          <w:bCs/>
          <w:color w:val="000000"/>
          <w:sz w:val="28"/>
          <w:szCs w:val="28"/>
        </w:rPr>
        <w:t>、投标人须具备的资格条件</w:t>
      </w:r>
    </w:p>
    <w:p w14:paraId="680327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1.在中华人民共和国境内注册，符合《中华人民共和国政府采购法》第二十二条之规定。</w:t>
      </w:r>
    </w:p>
    <w:p w14:paraId="60F4F7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2.具备独立法人资格，能独立承担民事责任，具有相应的服务能力</w:t>
      </w:r>
      <w:r>
        <w:rPr>
          <w:rFonts w:hint="eastAsia"/>
          <w:bCs/>
          <w:sz w:val="28"/>
          <w:szCs w:val="28"/>
          <w:lang w:eastAsia="zh-CN"/>
        </w:rPr>
        <w:t>【</w:t>
      </w:r>
      <w:r>
        <w:rPr>
          <w:rFonts w:hint="eastAsia"/>
          <w:bCs/>
          <w:sz w:val="28"/>
          <w:szCs w:val="28"/>
          <w:lang w:val="en-US" w:eastAsia="zh-CN"/>
        </w:rPr>
        <w:t>在高等院校、职业院校或技工院校有过两年（含）以上类似业绩</w:t>
      </w:r>
      <w:r>
        <w:rPr>
          <w:rFonts w:hint="eastAsia"/>
          <w:bCs/>
          <w:sz w:val="28"/>
          <w:szCs w:val="28"/>
          <w:lang w:eastAsia="zh-CN"/>
        </w:rPr>
        <w:t>）】</w:t>
      </w:r>
      <w:r>
        <w:rPr>
          <w:rFonts w:hint="eastAsia"/>
          <w:bCs/>
          <w:sz w:val="28"/>
          <w:szCs w:val="28"/>
        </w:rPr>
        <w:t>，有较强的生产、</w:t>
      </w:r>
      <w:r>
        <w:rPr>
          <w:rFonts w:hint="eastAsia"/>
          <w:bCs/>
          <w:sz w:val="28"/>
          <w:szCs w:val="28"/>
          <w:lang w:val="en-US" w:eastAsia="zh-CN"/>
        </w:rPr>
        <w:t>仓储、</w:t>
      </w:r>
      <w:r>
        <w:rPr>
          <w:rFonts w:hint="eastAsia"/>
          <w:bCs/>
          <w:sz w:val="28"/>
          <w:szCs w:val="28"/>
        </w:rPr>
        <w:t>供应能力，能满足学校的数量和质量要求，能按要求提供相关的检测与质量报告，经营范围与招标项目相关。</w:t>
      </w:r>
    </w:p>
    <w:p w14:paraId="25FA9F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3.投标人开标时需携带：</w:t>
      </w:r>
      <w:r>
        <w:rPr>
          <w:rFonts w:hint="eastAsia"/>
          <w:b/>
          <w:bCs w:val="0"/>
          <w:sz w:val="28"/>
          <w:szCs w:val="28"/>
        </w:rPr>
        <w:t>①生产型企业：</w:t>
      </w:r>
      <w:r>
        <w:rPr>
          <w:rFonts w:hint="eastAsia"/>
          <w:bCs/>
          <w:sz w:val="28"/>
          <w:szCs w:val="28"/>
        </w:rPr>
        <w:t>营业执照、全国工业产品生产许可证、权威机构出具的质量检验报告、法定代表人授权委托书、授权委托人身份证。</w:t>
      </w:r>
      <w:r>
        <w:rPr>
          <w:rFonts w:hint="eastAsia"/>
          <w:b/>
          <w:bCs w:val="0"/>
          <w:sz w:val="28"/>
          <w:szCs w:val="28"/>
        </w:rPr>
        <w:t>②经营型企业：</w:t>
      </w:r>
      <w:r>
        <w:rPr>
          <w:rFonts w:hint="eastAsia"/>
          <w:bCs/>
          <w:sz w:val="28"/>
          <w:szCs w:val="28"/>
        </w:rPr>
        <w:t>代理产品的生产企业资质材料（营业执照、全国工业产品生产许可证、权威机构出具的质量检验报告、法定代表人授权委托书、托受人身份证）营业执照、食品经营许可证、健康证（猪肉、豆制品提供）、农药残留检测报告（蔬菜提供），经销商授权。中标人在与招标人签订合的同时，应提供投标人的上述材料原件。（原件备查，复印件加盖企业公章）</w:t>
      </w:r>
    </w:p>
    <w:p w14:paraId="46C7C4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4.投标人未处于投标资格被取消或者财产被接管、冻结和破产状态；没有因骗取中标或严重违约以及发生重大质量、安全生产事故等问题被有关部门暂停投标资格并在暂停期内的。</w:t>
      </w:r>
    </w:p>
    <w:p w14:paraId="5D6B856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5.法定代表人为同一人或者存在直接控股、管理关系的不同投标人，不得同时参加本项目投标。</w:t>
      </w:r>
    </w:p>
    <w:p w14:paraId="587543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6.本项目严禁以“挂靠”等形式投标或骗取中标，一经发现取消投标、中标资格，并按相关规定没收投标保证金（投标阶段）、履约保证金（中标签订合同后）。</w:t>
      </w:r>
    </w:p>
    <w:p w14:paraId="3A90B2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7.未被“信用中国”网站（www.creditchina.gov.cn）等列入失信被执行人、重大税收违法案件当事人名单、政府采购严重失信行为记录名单。</w:t>
      </w:r>
    </w:p>
    <w:p w14:paraId="603909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8.</w:t>
      </w:r>
      <w:r>
        <w:rPr>
          <w:rFonts w:hint="eastAsia"/>
          <w:bCs/>
          <w:sz w:val="28"/>
          <w:szCs w:val="28"/>
          <w:lang w:val="en-US" w:eastAsia="zh-CN"/>
        </w:rPr>
        <w:t>2019年（含）以来</w:t>
      </w:r>
      <w:r>
        <w:rPr>
          <w:rFonts w:hint="eastAsia"/>
          <w:bCs/>
          <w:sz w:val="28"/>
          <w:szCs w:val="28"/>
        </w:rPr>
        <w:t>未发生过有责任的法律纠纷</w:t>
      </w:r>
      <w:r>
        <w:rPr>
          <w:rFonts w:hint="eastAsia"/>
          <w:bCs/>
          <w:sz w:val="28"/>
          <w:szCs w:val="28"/>
          <w:lang w:eastAsia="zh-CN"/>
        </w:rPr>
        <w:t>并书面</w:t>
      </w:r>
      <w:r>
        <w:rPr>
          <w:rFonts w:hint="eastAsia"/>
          <w:bCs/>
          <w:sz w:val="28"/>
          <w:szCs w:val="28"/>
        </w:rPr>
        <w:t>承诺。</w:t>
      </w:r>
    </w:p>
    <w:p w14:paraId="43852B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9.</w:t>
      </w:r>
      <w:r>
        <w:rPr>
          <w:rFonts w:hint="eastAsia"/>
          <w:bCs/>
          <w:sz w:val="28"/>
          <w:szCs w:val="28"/>
          <w:lang w:val="en-US" w:eastAsia="zh-CN"/>
        </w:rPr>
        <w:t>2019年（含）以来</w:t>
      </w:r>
      <w:r>
        <w:rPr>
          <w:rFonts w:hint="eastAsia"/>
          <w:bCs/>
          <w:sz w:val="28"/>
          <w:szCs w:val="28"/>
        </w:rPr>
        <w:t>未发生过食品安全和其他安全事故</w:t>
      </w:r>
      <w:r>
        <w:rPr>
          <w:rFonts w:hint="eastAsia"/>
          <w:bCs/>
          <w:sz w:val="28"/>
          <w:szCs w:val="28"/>
          <w:lang w:eastAsia="zh-CN"/>
        </w:rPr>
        <w:t>并书面</w:t>
      </w:r>
      <w:r>
        <w:rPr>
          <w:rFonts w:hint="eastAsia"/>
          <w:bCs/>
          <w:sz w:val="28"/>
          <w:szCs w:val="28"/>
        </w:rPr>
        <w:t>承诺。</w:t>
      </w:r>
    </w:p>
    <w:p w14:paraId="59C2C1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10.法律、行政法规规定的其他条件。</w:t>
      </w:r>
    </w:p>
    <w:p w14:paraId="643F4BD5">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黑体"/>
          <w:b/>
          <w:bCs/>
          <w:color w:val="000000"/>
          <w:sz w:val="28"/>
          <w:szCs w:val="28"/>
        </w:rPr>
      </w:pPr>
      <w:r>
        <w:rPr>
          <w:rFonts w:hint="eastAsia" w:ascii="宋体" w:hAnsi="宋体" w:cs="黑体"/>
          <w:b/>
          <w:bCs/>
          <w:color w:val="000000"/>
          <w:sz w:val="28"/>
          <w:szCs w:val="28"/>
          <w:lang w:eastAsia="zh-CN"/>
        </w:rPr>
        <w:t>四</w:t>
      </w:r>
      <w:r>
        <w:rPr>
          <w:rFonts w:hint="eastAsia" w:ascii="宋体" w:hAnsi="宋体" w:cs="黑体"/>
          <w:b/>
          <w:bCs/>
          <w:color w:val="000000"/>
          <w:sz w:val="28"/>
          <w:szCs w:val="28"/>
        </w:rPr>
        <w:t>、招标内容及供货期限</w:t>
      </w:r>
    </w:p>
    <w:p w14:paraId="3EBE1B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lang w:val="en-US" w:eastAsia="zh-CN"/>
        </w:rPr>
      </w:pPr>
      <w:r>
        <w:rPr>
          <w:rFonts w:hint="eastAsia"/>
          <w:bCs/>
          <w:sz w:val="28"/>
          <w:szCs w:val="28"/>
          <w:lang w:val="en-US" w:eastAsia="zh-CN"/>
        </w:rPr>
        <w:t>1.食堂食品原材料：每个标段招四家供应商。首月，中标意向供应商全部参与供货。次月起，由各食堂根据各标段意向供应商的当月报价、供货质量、服务质量等，自主选择当月实际供应商。</w:t>
      </w:r>
    </w:p>
    <w:p w14:paraId="5A309B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bCs/>
          <w:sz w:val="28"/>
          <w:szCs w:val="28"/>
          <w:lang w:val="en-US" w:eastAsia="zh-CN"/>
        </w:rPr>
      </w:pPr>
      <w:r>
        <w:rPr>
          <w:rFonts w:hint="eastAsia"/>
          <w:bCs/>
          <w:sz w:val="28"/>
          <w:szCs w:val="28"/>
          <w:lang w:val="en-US" w:eastAsia="zh-CN"/>
        </w:rPr>
        <w:t>2.供货期限：2024年9月-2025年6月。</w:t>
      </w:r>
    </w:p>
    <w:p w14:paraId="74F3EB46">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五</w:t>
      </w:r>
      <w:r>
        <w:rPr>
          <w:rFonts w:hint="eastAsia" w:ascii="宋体" w:hAnsi="宋体" w:cs="黑体"/>
          <w:b/>
          <w:bCs/>
          <w:color w:val="000000"/>
          <w:sz w:val="28"/>
          <w:szCs w:val="28"/>
        </w:rPr>
        <w:t>、投标保证金及履约保证金</w:t>
      </w:r>
    </w:p>
    <w:p w14:paraId="6065D99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1.本项目投标保证金为</w:t>
      </w:r>
      <w:r>
        <w:rPr>
          <w:rFonts w:hint="eastAsia" w:ascii="宋体" w:hAnsi="宋体" w:cs="仿宋_GB2312"/>
          <w:b/>
          <w:color w:val="000000"/>
          <w:sz w:val="28"/>
          <w:szCs w:val="28"/>
        </w:rPr>
        <w:t>人民币</w:t>
      </w:r>
      <w:r>
        <w:rPr>
          <w:rFonts w:hint="eastAsia" w:ascii="宋体" w:hAnsi="宋体" w:cs="仿宋_GB2312"/>
          <w:b/>
          <w:color w:val="000000"/>
          <w:sz w:val="28"/>
          <w:szCs w:val="28"/>
          <w:u w:val="single"/>
          <w:lang w:val="en-US" w:eastAsia="zh-CN"/>
        </w:rPr>
        <w:t>2</w:t>
      </w:r>
      <w:r>
        <w:rPr>
          <w:rFonts w:hint="eastAsia" w:ascii="宋体" w:hAnsi="宋体" w:cs="仿宋_GB2312"/>
          <w:b/>
          <w:color w:val="000000"/>
          <w:sz w:val="28"/>
          <w:szCs w:val="28"/>
          <w:u w:val="single"/>
        </w:rPr>
        <w:t>000元</w:t>
      </w:r>
      <w:r>
        <w:rPr>
          <w:rFonts w:hint="eastAsia" w:ascii="宋体" w:hAnsi="宋体" w:cs="仿宋_GB2312"/>
          <w:b/>
          <w:color w:val="000000"/>
          <w:sz w:val="28"/>
          <w:szCs w:val="28"/>
          <w:u w:val="single"/>
          <w:lang w:val="en-US" w:eastAsia="zh-CN"/>
        </w:rPr>
        <w:t>/标段</w:t>
      </w:r>
      <w:r>
        <w:rPr>
          <w:rFonts w:hint="eastAsia" w:ascii="宋体" w:hAnsi="宋体" w:cs="仿宋_GB2312"/>
          <w:color w:val="000000"/>
          <w:sz w:val="28"/>
          <w:szCs w:val="28"/>
        </w:rPr>
        <w:t>，投标保证金必须使用银行本票或者银行汇票</w:t>
      </w:r>
      <w:r>
        <w:rPr>
          <w:rFonts w:hint="eastAsia" w:ascii="宋体" w:hAnsi="宋体" w:cs="仿宋_GB2312"/>
          <w:color w:val="000000"/>
          <w:sz w:val="28"/>
          <w:szCs w:val="28"/>
          <w:lang w:eastAsia="zh-CN"/>
        </w:rPr>
        <w:t>的</w:t>
      </w:r>
      <w:r>
        <w:rPr>
          <w:rFonts w:hint="eastAsia" w:ascii="宋体" w:hAnsi="宋体" w:cs="仿宋_GB2312"/>
          <w:color w:val="000000"/>
          <w:sz w:val="28"/>
          <w:szCs w:val="28"/>
        </w:rPr>
        <w:t>形式，投标人未能按上述要求提交投标保证金的，</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将视其为不响应投标而予以拒绝。</w:t>
      </w:r>
    </w:p>
    <w:p w14:paraId="445BC75B">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color w:val="000000"/>
          <w:sz w:val="28"/>
          <w:szCs w:val="28"/>
        </w:rPr>
      </w:pPr>
      <w:r>
        <w:rPr>
          <w:rFonts w:hint="eastAsia" w:ascii="宋体" w:hAnsi="宋体" w:cs="仿宋_GB2312"/>
          <w:color w:val="000000"/>
          <w:sz w:val="28"/>
          <w:szCs w:val="28"/>
        </w:rPr>
        <w:t>2.投标保证金核验方式为：投标文件递交的同时，投标单位将银行本票或者银行汇票直接提交给投标文件接收人员。未按上述要求提交的，投标文件将不予接收。</w:t>
      </w:r>
    </w:p>
    <w:p w14:paraId="04A0C22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color w:val="000000"/>
          <w:sz w:val="28"/>
          <w:szCs w:val="28"/>
        </w:rPr>
      </w:pPr>
      <w:r>
        <w:rPr>
          <w:rFonts w:hint="eastAsia" w:ascii="宋体" w:hAnsi="宋体" w:cs="仿宋_GB2312"/>
          <w:color w:val="000000"/>
          <w:sz w:val="28"/>
          <w:szCs w:val="28"/>
        </w:rPr>
        <w:t>3.未中标单位在中标结果公示后5日内退还投标保证金（无息退还）。投标人应充分考虑到如物价起伏等因素造成的投资成本增加的风险。本项目各类食材供货商签订合同</w:t>
      </w:r>
      <w:r>
        <w:rPr>
          <w:rFonts w:hint="eastAsia" w:ascii="宋体" w:hAnsi="宋体" w:cs="仿宋_GB2312"/>
          <w:color w:val="000000"/>
          <w:sz w:val="28"/>
          <w:szCs w:val="28"/>
          <w:lang w:eastAsia="zh-CN"/>
        </w:rPr>
        <w:t>前</w:t>
      </w:r>
      <w:r>
        <w:rPr>
          <w:rFonts w:hint="eastAsia" w:ascii="宋体" w:hAnsi="宋体" w:cs="仿宋_GB2312"/>
          <w:color w:val="000000"/>
          <w:sz w:val="28"/>
          <w:szCs w:val="28"/>
        </w:rPr>
        <w:t>须提交履约保证金，</w:t>
      </w:r>
      <w:r>
        <w:rPr>
          <w:rFonts w:hint="eastAsia" w:ascii="宋体" w:hAnsi="宋体" w:cs="仿宋_GB2312"/>
          <w:b/>
          <w:bCs/>
          <w:color w:val="000000"/>
          <w:sz w:val="28"/>
          <w:szCs w:val="28"/>
          <w:lang w:eastAsia="zh-CN"/>
        </w:rPr>
        <w:t>每个标段</w:t>
      </w:r>
      <w:r>
        <w:rPr>
          <w:rFonts w:hint="eastAsia" w:ascii="宋体" w:hAnsi="宋体" w:cs="仿宋_GB2312"/>
          <w:b/>
          <w:bCs/>
          <w:color w:val="000000"/>
          <w:sz w:val="28"/>
          <w:szCs w:val="28"/>
        </w:rPr>
        <w:t>需缴纳</w:t>
      </w:r>
      <w:r>
        <w:rPr>
          <w:rFonts w:hint="eastAsia" w:ascii="宋体" w:hAnsi="宋体" w:cs="仿宋_GB2312"/>
          <w:b/>
          <w:bCs/>
          <w:color w:val="000000"/>
          <w:sz w:val="28"/>
          <w:szCs w:val="28"/>
          <w:lang w:eastAsia="zh-CN"/>
        </w:rPr>
        <w:t>履约保证金</w:t>
      </w:r>
      <w:r>
        <w:rPr>
          <w:rFonts w:hint="eastAsia" w:ascii="宋体" w:hAnsi="宋体" w:cs="仿宋_GB2312"/>
          <w:b/>
          <w:bCs/>
          <w:color w:val="000000"/>
          <w:sz w:val="28"/>
          <w:szCs w:val="28"/>
          <w:lang w:val="en-US" w:eastAsia="zh-CN"/>
        </w:rPr>
        <w:t>2万</w:t>
      </w:r>
      <w:r>
        <w:rPr>
          <w:rFonts w:hint="eastAsia" w:ascii="宋体" w:hAnsi="宋体" w:cs="仿宋_GB2312"/>
          <w:b/>
          <w:bCs/>
          <w:color w:val="000000"/>
          <w:sz w:val="28"/>
          <w:szCs w:val="28"/>
        </w:rPr>
        <w:t>元。</w:t>
      </w:r>
      <w:r>
        <w:rPr>
          <w:rFonts w:hint="eastAsia" w:ascii="宋体" w:hAnsi="宋体" w:cs="仿宋_GB2312"/>
          <w:color w:val="000000"/>
          <w:sz w:val="28"/>
          <w:szCs w:val="28"/>
        </w:rPr>
        <w:t>中标人必须在中标结果公示后3日内将履约保证金按照</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要求打入指定账户。</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收到中标人履约保证金后，同时退还投标保证金（无息）。未按规定要求缴纳履约保证金的，取消其中标资格，并没收投标保证金。</w:t>
      </w:r>
    </w:p>
    <w:p w14:paraId="6CA0CCD5">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4.除不可抗力情况外，投标人发生下列任何情况之一，投标保证金将被没收，给</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造成的损失超过投标保证金或履约保证金数额的，投标人须对超过部分予以赔偿：</w:t>
      </w:r>
    </w:p>
    <w:p w14:paraId="4BAAFFE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（1）投标人在投标有效期内撤回其投标；</w:t>
      </w:r>
    </w:p>
    <w:p w14:paraId="5FFC83B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（2）中标人在规定期限内未签订合同；</w:t>
      </w:r>
    </w:p>
    <w:p w14:paraId="7E6392DF">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（3）投标人提供的有关资料、资格证书被确认是不真实的；</w:t>
      </w:r>
    </w:p>
    <w:p w14:paraId="18B84DA8">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（4）投标人被证明有妨碍其他人公平竞争、损害</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或者其他投标人合法权益的；</w:t>
      </w:r>
    </w:p>
    <w:p w14:paraId="17F15F9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（5）投标人故意捏造事实或伪造证明材料，进行虚假恶意投诉或反映的。</w:t>
      </w:r>
    </w:p>
    <w:p w14:paraId="207A8D3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5.评标结束后，</w:t>
      </w:r>
      <w:r>
        <w:rPr>
          <w:rFonts w:hint="eastAsia" w:ascii="宋体" w:hAnsi="宋体" w:cs="仿宋_GB2312"/>
          <w:color w:val="000000"/>
          <w:sz w:val="28"/>
          <w:szCs w:val="28"/>
          <w:lang w:eastAsia="zh-CN"/>
        </w:rPr>
        <w:t>采购人</w:t>
      </w:r>
      <w:r>
        <w:rPr>
          <w:rFonts w:hint="eastAsia" w:ascii="宋体" w:hAnsi="宋体" w:cs="仿宋_GB2312"/>
          <w:color w:val="000000"/>
          <w:sz w:val="28"/>
          <w:szCs w:val="28"/>
          <w:lang w:val="en-US" w:eastAsia="zh-CN"/>
        </w:rPr>
        <w:t>可以</w:t>
      </w:r>
      <w:r>
        <w:rPr>
          <w:rFonts w:hint="eastAsia" w:ascii="宋体" w:hAnsi="宋体" w:cs="仿宋_GB2312"/>
          <w:color w:val="000000"/>
          <w:sz w:val="28"/>
          <w:szCs w:val="28"/>
        </w:rPr>
        <w:t>组织有关部门对中标人候选人进行实地考察，对所投产品的采购过程、运输过程等环节进行实地调查。</w:t>
      </w:r>
    </w:p>
    <w:p w14:paraId="6EE95DF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黑体"/>
          <w:b/>
          <w:bCs/>
          <w:color w:val="000000"/>
          <w:sz w:val="28"/>
          <w:szCs w:val="28"/>
        </w:rPr>
      </w:pPr>
      <w:r>
        <w:rPr>
          <w:rFonts w:hint="eastAsia" w:ascii="宋体" w:hAnsi="宋体" w:cs="仿宋_GB2312"/>
          <w:color w:val="000000"/>
          <w:sz w:val="28"/>
          <w:szCs w:val="28"/>
        </w:rPr>
        <w:t>6.履约保证金的退还：按合同要求供货并验收合格，供货期满后全额退还（无息）。</w:t>
      </w:r>
    </w:p>
    <w:p w14:paraId="357C62C9">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六</w:t>
      </w:r>
      <w:r>
        <w:rPr>
          <w:rFonts w:hint="eastAsia" w:ascii="宋体" w:hAnsi="宋体" w:cs="黑体"/>
          <w:b/>
          <w:bCs/>
          <w:color w:val="000000"/>
          <w:sz w:val="28"/>
          <w:szCs w:val="28"/>
        </w:rPr>
        <w:t>、</w:t>
      </w:r>
      <w:r>
        <w:rPr>
          <w:rFonts w:hint="eastAsia" w:ascii="宋体" w:hAnsi="宋体" w:cs="黑体"/>
          <w:b/>
          <w:bCs/>
          <w:color w:val="000000"/>
          <w:sz w:val="28"/>
          <w:szCs w:val="28"/>
          <w:lang w:val="en-US" w:eastAsia="zh-CN"/>
        </w:rPr>
        <w:t>获取招标文件</w:t>
      </w:r>
      <w:r>
        <w:rPr>
          <w:rFonts w:hint="eastAsia" w:ascii="宋体" w:hAnsi="宋体" w:cs="黑体"/>
          <w:b/>
          <w:bCs/>
          <w:color w:val="000000"/>
          <w:sz w:val="28"/>
          <w:szCs w:val="28"/>
        </w:rPr>
        <w:t>、投标文件递交截止时间、开标时间及地点</w:t>
      </w:r>
    </w:p>
    <w:p w14:paraId="03CE1E47">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b/>
          <w:bCs/>
          <w:color w:val="000000"/>
          <w:sz w:val="28"/>
          <w:szCs w:val="28"/>
        </w:rPr>
      </w:pPr>
      <w:r>
        <w:rPr>
          <w:rFonts w:hint="eastAsia" w:ascii="宋体" w:hAnsi="宋体" w:cs="仿宋_GB2312"/>
          <w:color w:val="000000"/>
          <w:sz w:val="28"/>
          <w:szCs w:val="28"/>
        </w:rPr>
        <w:t>1.</w:t>
      </w:r>
      <w:r>
        <w:rPr>
          <w:rFonts w:hint="eastAsia" w:ascii="宋体" w:hAnsi="宋体" w:cs="仿宋_GB2312"/>
          <w:color w:val="000000"/>
          <w:sz w:val="28"/>
          <w:szCs w:val="28"/>
          <w:lang w:val="en-US" w:eastAsia="zh-CN"/>
        </w:rPr>
        <w:t>获取招标文件</w:t>
      </w:r>
      <w:r>
        <w:rPr>
          <w:rFonts w:hint="eastAsia" w:ascii="宋体" w:hAnsi="宋体" w:cs="仿宋_GB2312"/>
          <w:color w:val="000000"/>
          <w:sz w:val="28"/>
          <w:szCs w:val="28"/>
        </w:rPr>
        <w:t>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8</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23</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8</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29</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8</w:t>
      </w:r>
      <w:r>
        <w:rPr>
          <w:rFonts w:hint="eastAsia" w:ascii="宋体" w:hAnsi="宋体" w:cs="仿宋_GB2312"/>
          <w:color w:val="000000"/>
          <w:sz w:val="28"/>
          <w:szCs w:val="28"/>
          <w:u w:val="single"/>
        </w:rPr>
        <w:t>:00-11:</w:t>
      </w:r>
      <w:r>
        <w:rPr>
          <w:rFonts w:hint="eastAsia" w:ascii="宋体" w:hAnsi="宋体" w:cs="仿宋_GB2312"/>
          <w:color w:val="000000"/>
          <w:sz w:val="28"/>
          <w:szCs w:val="28"/>
          <w:u w:val="single"/>
          <w:lang w:val="en-US" w:eastAsia="zh-CN"/>
        </w:rPr>
        <w:t>3</w:t>
      </w:r>
      <w:r>
        <w:rPr>
          <w:rFonts w:hint="eastAsia" w:ascii="宋体" w:hAnsi="宋体" w:cs="仿宋_GB2312"/>
          <w:color w:val="000000"/>
          <w:sz w:val="28"/>
          <w:szCs w:val="28"/>
          <w:u w:val="single"/>
        </w:rPr>
        <w:t>0；1</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w:t>
      </w:r>
      <w:r>
        <w:rPr>
          <w:rFonts w:hint="eastAsia" w:ascii="宋体" w:hAnsi="宋体" w:cs="仿宋_GB2312"/>
          <w:color w:val="000000"/>
          <w:sz w:val="28"/>
          <w:szCs w:val="28"/>
          <w:u w:val="single"/>
          <w:lang w:val="en-US" w:eastAsia="zh-CN"/>
        </w:rPr>
        <w:t>3</w:t>
      </w:r>
      <w:r>
        <w:rPr>
          <w:rFonts w:hint="eastAsia" w:ascii="宋体" w:hAnsi="宋体" w:cs="仿宋_GB2312"/>
          <w:color w:val="000000"/>
          <w:sz w:val="28"/>
          <w:szCs w:val="28"/>
          <w:u w:val="single"/>
        </w:rPr>
        <w:t>0—17:30）</w:t>
      </w:r>
      <w:r>
        <w:rPr>
          <w:rFonts w:hint="eastAsia" w:ascii="宋体" w:hAnsi="宋体" w:cs="仿宋_GB2312"/>
          <w:b/>
          <w:bCs/>
          <w:color w:val="000000"/>
          <w:sz w:val="28"/>
          <w:szCs w:val="28"/>
          <w:u w:val="single"/>
        </w:rPr>
        <w:t>；</w:t>
      </w:r>
    </w:p>
    <w:p w14:paraId="30AC61DE">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地点：</w:t>
      </w:r>
      <w:r>
        <w:rPr>
          <w:rFonts w:hint="eastAsia" w:ascii="宋体" w:hAnsi="宋体" w:cs="仿宋_GB2312"/>
          <w:color w:val="000000"/>
          <w:sz w:val="28"/>
          <w:szCs w:val="28"/>
          <w:lang w:val="en-US" w:eastAsia="zh-CN"/>
        </w:rPr>
        <w:t>江苏省盐城技师学院海洋路校区（盐城市盐都区海洋路29号匠心楼14楼1411办公室）。</w:t>
      </w:r>
    </w:p>
    <w:p w14:paraId="39E45229">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仿宋_GB2312"/>
          <w:color w:val="000000"/>
          <w:sz w:val="28"/>
          <w:szCs w:val="28"/>
          <w:lang w:eastAsia="zh-CN"/>
        </w:rPr>
      </w:pPr>
      <w:r>
        <w:rPr>
          <w:rFonts w:hint="eastAsia" w:ascii="宋体" w:hAnsi="宋体" w:cs="仿宋_GB2312"/>
          <w:color w:val="000000"/>
          <w:sz w:val="28"/>
          <w:szCs w:val="28"/>
        </w:rPr>
        <w:t>联系人：</w:t>
      </w:r>
      <w:r>
        <w:rPr>
          <w:rFonts w:hint="eastAsia" w:ascii="宋体" w:hAnsi="宋体" w:cs="仿宋_GB2312"/>
          <w:color w:val="000000"/>
          <w:sz w:val="28"/>
          <w:szCs w:val="28"/>
          <w:lang w:eastAsia="zh-CN"/>
        </w:rPr>
        <w:t>邵</w:t>
      </w:r>
      <w:r>
        <w:rPr>
          <w:rFonts w:hint="eastAsia" w:ascii="宋体" w:hAnsi="宋体" w:cs="仿宋_GB2312"/>
          <w:color w:val="000000"/>
          <w:sz w:val="28"/>
          <w:szCs w:val="28"/>
        </w:rPr>
        <w:t>老师 0515—68661002</w:t>
      </w:r>
      <w:r>
        <w:rPr>
          <w:rFonts w:hint="eastAsia" w:ascii="仿宋" w:hAnsi="仿宋" w:eastAsia="仿宋" w:cs="仿宋"/>
          <w:color w:val="000000"/>
          <w:sz w:val="28"/>
          <w:szCs w:val="28"/>
          <w:u w:val="none"/>
          <w:lang w:val="en-US" w:eastAsia="zh-CN"/>
        </w:rPr>
        <w:t>/13905109103</w:t>
      </w:r>
    </w:p>
    <w:p w14:paraId="134F2A0C">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2.投标文件递交截止时间：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8月31</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时</w:t>
      </w:r>
      <w:r>
        <w:rPr>
          <w:rFonts w:hint="eastAsia" w:ascii="宋体" w:hAnsi="宋体" w:cs="仿宋_GB2312"/>
          <w:color w:val="000000"/>
          <w:sz w:val="28"/>
          <w:szCs w:val="28"/>
          <w:u w:val="single"/>
          <w:lang w:val="en-US" w:eastAsia="zh-CN"/>
        </w:rPr>
        <w:t>00</w:t>
      </w:r>
      <w:r>
        <w:rPr>
          <w:rFonts w:hint="eastAsia" w:ascii="宋体" w:hAnsi="宋体" w:cs="仿宋_GB2312"/>
          <w:color w:val="000000"/>
          <w:sz w:val="28"/>
          <w:szCs w:val="28"/>
          <w:u w:val="single"/>
        </w:rPr>
        <w:t>分00秒；</w:t>
      </w:r>
    </w:p>
    <w:p w14:paraId="473BB56F">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3.开标时间：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8</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31</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时</w:t>
      </w:r>
      <w:r>
        <w:rPr>
          <w:rFonts w:hint="eastAsia" w:ascii="宋体" w:hAnsi="宋体" w:cs="仿宋_GB2312"/>
          <w:color w:val="000000"/>
          <w:sz w:val="28"/>
          <w:szCs w:val="28"/>
          <w:u w:val="single"/>
          <w:lang w:val="en-US" w:eastAsia="zh-CN"/>
        </w:rPr>
        <w:t>30</w:t>
      </w:r>
      <w:r>
        <w:rPr>
          <w:rFonts w:hint="eastAsia" w:ascii="宋体" w:hAnsi="宋体" w:cs="仿宋_GB2312"/>
          <w:color w:val="000000"/>
          <w:sz w:val="28"/>
          <w:szCs w:val="28"/>
          <w:u w:val="single"/>
        </w:rPr>
        <w:t>分00秒；</w:t>
      </w:r>
    </w:p>
    <w:p w14:paraId="7C1ABD3A">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b/>
          <w:bCs/>
          <w:color w:val="000000"/>
          <w:sz w:val="28"/>
          <w:szCs w:val="28"/>
          <w:highlight w:val="none"/>
        </w:rPr>
      </w:pPr>
      <w:r>
        <w:rPr>
          <w:rFonts w:hint="eastAsia" w:ascii="宋体" w:hAnsi="宋体"/>
          <w:color w:val="000000"/>
          <w:sz w:val="28"/>
          <w:szCs w:val="28"/>
        </w:rPr>
        <w:t>4.</w:t>
      </w:r>
      <w:r>
        <w:rPr>
          <w:rFonts w:hint="eastAsia" w:ascii="宋体" w:hAnsi="宋体" w:cs="仿宋_GB2312"/>
          <w:color w:val="000000"/>
          <w:sz w:val="28"/>
          <w:szCs w:val="28"/>
        </w:rPr>
        <w:t>投标文件递交及开标地点：</w:t>
      </w:r>
      <w:r>
        <w:rPr>
          <w:rFonts w:hint="eastAsia" w:ascii="宋体" w:hAnsi="宋体" w:cs="仿宋_GB2312"/>
          <w:b/>
          <w:bCs/>
          <w:color w:val="000000"/>
          <w:sz w:val="28"/>
          <w:szCs w:val="28"/>
          <w:highlight w:val="none"/>
          <w:lang w:val="en-US" w:eastAsia="zh-CN"/>
        </w:rPr>
        <w:t>江苏省盐城技师学院文港路校区（盐城市文港中路128号研发楼15楼会议室）</w:t>
      </w:r>
      <w:r>
        <w:rPr>
          <w:rFonts w:hint="eastAsia" w:ascii="宋体" w:hAnsi="宋体" w:cs="仿宋_GB2312"/>
          <w:b/>
          <w:bCs/>
          <w:color w:val="000000"/>
          <w:sz w:val="28"/>
          <w:szCs w:val="28"/>
          <w:highlight w:val="none"/>
        </w:rPr>
        <w:t>；</w:t>
      </w:r>
    </w:p>
    <w:p w14:paraId="234B3D0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olor w:val="000000"/>
          <w:sz w:val="28"/>
          <w:szCs w:val="28"/>
        </w:rPr>
        <w:t>5.</w:t>
      </w:r>
      <w:r>
        <w:rPr>
          <w:rFonts w:hint="eastAsia" w:ascii="宋体" w:hAnsi="宋体"/>
          <w:color w:val="000000"/>
          <w:sz w:val="28"/>
          <w:szCs w:val="28"/>
          <w:lang w:eastAsia="zh-CN"/>
        </w:rPr>
        <w:t>采购人</w:t>
      </w:r>
      <w:r>
        <w:rPr>
          <w:rFonts w:hint="eastAsia" w:ascii="宋体" w:hAnsi="宋体"/>
          <w:color w:val="000000"/>
          <w:sz w:val="28"/>
          <w:szCs w:val="28"/>
        </w:rPr>
        <w:t>可以按照规定，通过修改招标文件有权酌情延长投标截止日期，在此情况下，投标人的所有权利和义务以及投标人受制的截止日期均应以延长后新的截止日期为准。</w:t>
      </w:r>
    </w:p>
    <w:p w14:paraId="6141BA0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olor w:val="000000"/>
          <w:sz w:val="28"/>
          <w:szCs w:val="28"/>
          <w:lang w:val="en-US" w:eastAsia="zh-CN"/>
        </w:rPr>
      </w:pPr>
      <w:r>
        <w:rPr>
          <w:rFonts w:hint="eastAsia" w:ascii="宋体" w:hAnsi="宋体"/>
          <w:color w:val="000000"/>
          <w:sz w:val="28"/>
          <w:szCs w:val="28"/>
          <w:lang w:val="en-US" w:eastAsia="zh-CN"/>
        </w:rPr>
        <w:t>招标（采购）资料费 300元，</w:t>
      </w:r>
      <w:bookmarkStart w:id="0" w:name="_GoBack"/>
      <w:bookmarkEnd w:id="0"/>
      <w:r>
        <w:rPr>
          <w:rFonts w:hint="eastAsia" w:ascii="宋体" w:hAnsi="宋体"/>
          <w:color w:val="000000"/>
          <w:sz w:val="28"/>
          <w:szCs w:val="28"/>
          <w:lang w:val="en-US" w:eastAsia="zh-CN"/>
        </w:rPr>
        <w:t>在购买招标文件时现场收取。投标人交纳的招标（采购）资料费，售后不退。</w:t>
      </w:r>
    </w:p>
    <w:p w14:paraId="5851311D">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2" w:firstLineChars="200"/>
        <w:textAlignment w:val="auto"/>
        <w:rPr>
          <w:rFonts w:ascii="宋体" w:hAnsi="宋体" w:cs="仿宋_GB2312"/>
          <w:b/>
          <w:color w:val="000000"/>
          <w:sz w:val="28"/>
          <w:szCs w:val="28"/>
        </w:rPr>
      </w:pPr>
      <w:r>
        <w:rPr>
          <w:rFonts w:hint="eastAsia" w:ascii="宋体" w:hAnsi="宋体" w:cs="仿宋_GB2312"/>
          <w:b/>
          <w:color w:val="000000"/>
          <w:sz w:val="28"/>
          <w:szCs w:val="28"/>
        </w:rPr>
        <w:t>注：本项目投标人在递交投标文件时须同时递交投标保证金交款凭据，本次投标保证金以银行本票和银行汇票</w:t>
      </w:r>
      <w:r>
        <w:rPr>
          <w:rFonts w:hint="eastAsia" w:ascii="宋体" w:hAnsi="宋体" w:cs="仿宋_GB2312"/>
          <w:b/>
          <w:color w:val="000000"/>
          <w:sz w:val="28"/>
          <w:szCs w:val="28"/>
          <w:lang w:eastAsia="zh-CN"/>
        </w:rPr>
        <w:t>的</w:t>
      </w:r>
      <w:r>
        <w:rPr>
          <w:rFonts w:hint="eastAsia" w:ascii="宋体" w:hAnsi="宋体" w:cs="仿宋_GB2312"/>
          <w:b/>
          <w:color w:val="000000"/>
          <w:sz w:val="28"/>
          <w:szCs w:val="28"/>
        </w:rPr>
        <w:t>形式缴纳，开标前带至开标现场（详见投标保证金条款的相关规定）。</w:t>
      </w:r>
    </w:p>
    <w:p w14:paraId="0598111B">
      <w:pPr>
        <w:keepNext w:val="0"/>
        <w:keepLines w:val="0"/>
        <w:pageBreakBefore w:val="0"/>
        <w:widowControl w:val="0"/>
        <w:kinsoku/>
        <w:wordWrap/>
        <w:overflowPunct/>
        <w:topLinePunct w:val="0"/>
        <w:autoSpaceDE/>
        <w:autoSpaceDN/>
        <w:bidi w:val="0"/>
        <w:adjustRightInd w:val="0"/>
        <w:snapToGrid w:val="0"/>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为了提高招标采购效率，节约社会交易成本及时间，希望获取了招标文件，而又决定不参加本次招标的投标人，请在投标截止时间前2天书面或电话告知我们（联系人：王老师/邵老师，办公电话：0515—68661002），对于无故临时放弃投标的投标人，我校将根据情况将投标单位纳入招投标黑名单。对您的支持与配合，谨此致谢。</w:t>
      </w:r>
    </w:p>
    <w:p w14:paraId="1E70C462">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七、其他</w:t>
      </w:r>
    </w:p>
    <w:p w14:paraId="29972C5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为确保校园安全，投标人进入江苏省盐城技师学院文港路校区时应服从下列规定：</w:t>
      </w:r>
    </w:p>
    <w:p w14:paraId="086C479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（1）投标人从学校东大门进出；投标人车辆一律不得进入校园。</w:t>
      </w:r>
    </w:p>
    <w:p w14:paraId="7D232DE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（2）授权代表限1人进入校园，进入校园前须在东大门外相关工作人员处进行信息实名登记。请投标人注意投标截止时间。</w:t>
      </w:r>
    </w:p>
    <w:p w14:paraId="5E45B04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（3）投标人进入校园后应在指定地点参与投标活动，不到非相关场所活动；投标工作结束后应立即离开校园，不逗留。</w:t>
      </w:r>
    </w:p>
    <w:p w14:paraId="24079FDB">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八、采购人联系方式</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13"/>
      </w:tblGrid>
      <w:tr w14:paraId="5A7C3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513C05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联系人</w:t>
            </w:r>
          </w:p>
        </w:tc>
        <w:tc>
          <w:tcPr>
            <w:tcW w:w="6713" w:type="dxa"/>
          </w:tcPr>
          <w:p w14:paraId="04599A6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黑体" w:eastAsiaTheme="minorEastAsia"/>
                <w:b/>
                <w:bCs/>
                <w:sz w:val="28"/>
                <w:szCs w:val="28"/>
                <w:vertAlign w:val="baseline"/>
                <w:lang w:val="en-US" w:eastAsia="zh-CN"/>
              </w:rPr>
            </w:pPr>
            <w:r>
              <w:rPr>
                <w:rFonts w:hint="eastAsia" w:ascii="仿宋" w:hAnsi="仿宋" w:eastAsia="仿宋" w:cs="仿宋"/>
                <w:color w:val="000000"/>
                <w:sz w:val="28"/>
                <w:szCs w:val="28"/>
                <w:u w:val="none"/>
                <w:lang w:val="en-US" w:eastAsia="zh-CN"/>
              </w:rPr>
              <w:t>王老师/邵老师</w:t>
            </w:r>
          </w:p>
        </w:tc>
      </w:tr>
      <w:tr w14:paraId="25AF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718B67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电 话</w:t>
            </w:r>
          </w:p>
        </w:tc>
        <w:tc>
          <w:tcPr>
            <w:tcW w:w="6713" w:type="dxa"/>
          </w:tcPr>
          <w:p w14:paraId="1A0682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0515-68661002，13</w:t>
            </w:r>
            <w:r>
              <w:rPr>
                <w:rFonts w:hint="eastAsia" w:ascii="仿宋" w:hAnsi="仿宋" w:eastAsia="仿宋" w:cs="仿宋"/>
                <w:color w:val="000000"/>
                <w:sz w:val="28"/>
                <w:szCs w:val="28"/>
                <w:u w:val="none"/>
                <w:lang w:val="en-US" w:eastAsia="zh-CN"/>
              </w:rPr>
              <w:t>056150848/13905109103</w:t>
            </w:r>
          </w:p>
        </w:tc>
      </w:tr>
      <w:tr w14:paraId="77697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664D7F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lang w:val="zh-CN"/>
              </w:rPr>
              <w:t>联系地址</w:t>
            </w:r>
          </w:p>
        </w:tc>
        <w:tc>
          <w:tcPr>
            <w:tcW w:w="6713" w:type="dxa"/>
          </w:tcPr>
          <w:p w14:paraId="68F452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sz w:val="28"/>
                <w:szCs w:val="28"/>
                <w:lang w:val="en-US" w:eastAsia="zh-CN"/>
              </w:rPr>
              <w:t>盐城市盐都区海洋路29号匠心楼14楼1412办公室</w:t>
            </w:r>
          </w:p>
        </w:tc>
      </w:tr>
    </w:tbl>
    <w:p w14:paraId="439E6D33">
      <w:pPr>
        <w:spacing w:beforeLines="50" w:afterLines="50" w:line="480" w:lineRule="exact"/>
        <w:jc w:val="center"/>
        <w:rPr>
          <w:rFonts w:hint="eastAsia" w:eastAsia="黑体"/>
          <w:sz w:val="44"/>
        </w:rPr>
      </w:pPr>
    </w:p>
    <w:p w14:paraId="79E069A3">
      <w:pPr>
        <w:spacing w:line="360" w:lineRule="auto"/>
        <w:rPr>
          <w:rFonts w:ascii="宋体" w:hAnsi="宋体"/>
          <w:color w:val="000000"/>
          <w:szCs w:val="21"/>
        </w:rPr>
      </w:pPr>
    </w:p>
    <w:p w14:paraId="479582AD">
      <w:pPr>
        <w:pStyle w:val="10"/>
        <w:ind w:firstLine="210"/>
        <w:rPr>
          <w:rFonts w:ascii="宋体" w:hAnsi="宋体"/>
          <w:color w:val="000000"/>
          <w:szCs w:val="21"/>
        </w:rPr>
      </w:pPr>
    </w:p>
    <w:p w14:paraId="6B6F31EF">
      <w:pPr>
        <w:ind w:firstLine="4620" w:firstLineChars="2200"/>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CE5D8">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BC7439">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DBC7439">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213CB6"/>
    <w:rsid w:val="001140BF"/>
    <w:rsid w:val="00213CB6"/>
    <w:rsid w:val="00246D29"/>
    <w:rsid w:val="004C09A2"/>
    <w:rsid w:val="006D0AE1"/>
    <w:rsid w:val="00A70E0B"/>
    <w:rsid w:val="00AA5F93"/>
    <w:rsid w:val="00C638A7"/>
    <w:rsid w:val="00C919D7"/>
    <w:rsid w:val="00D24EA2"/>
    <w:rsid w:val="00D30B58"/>
    <w:rsid w:val="00DD0D01"/>
    <w:rsid w:val="00DD2936"/>
    <w:rsid w:val="00E24FBE"/>
    <w:rsid w:val="00E415CF"/>
    <w:rsid w:val="017C259E"/>
    <w:rsid w:val="01A71BCD"/>
    <w:rsid w:val="026A4D86"/>
    <w:rsid w:val="0AAB0BFB"/>
    <w:rsid w:val="0DDB1868"/>
    <w:rsid w:val="0EB462E7"/>
    <w:rsid w:val="0FBA381F"/>
    <w:rsid w:val="15A5096C"/>
    <w:rsid w:val="16140BEF"/>
    <w:rsid w:val="18B73AFD"/>
    <w:rsid w:val="1A5C1465"/>
    <w:rsid w:val="2C136BCC"/>
    <w:rsid w:val="38412B71"/>
    <w:rsid w:val="3E5F540E"/>
    <w:rsid w:val="44250320"/>
    <w:rsid w:val="45BD4AD4"/>
    <w:rsid w:val="4E1A61B3"/>
    <w:rsid w:val="5A423FC7"/>
    <w:rsid w:val="5FC8785E"/>
    <w:rsid w:val="62F835B8"/>
    <w:rsid w:val="643139E2"/>
    <w:rsid w:val="70374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qFormat/>
    <w:uiPriority w:val="99"/>
    <w:pPr>
      <w:keepNext/>
      <w:keepLines/>
      <w:spacing w:before="260" w:after="260" w:line="415" w:lineRule="auto"/>
      <w:outlineLvl w:val="1"/>
    </w:pPr>
    <w:rPr>
      <w:rFonts w:ascii="Arial" w:hAnsi="Arial" w:eastAsia="黑体" w:cs="Times New Roman"/>
      <w:b/>
      <w:bCs/>
      <w:sz w:val="32"/>
      <w:szCs w:val="32"/>
    </w:rPr>
  </w:style>
  <w:style w:type="paragraph" w:styleId="3">
    <w:name w:val="heading 3"/>
    <w:basedOn w:val="1"/>
    <w:next w:val="1"/>
    <w:link w:val="16"/>
    <w:qFormat/>
    <w:uiPriority w:val="99"/>
    <w:pPr>
      <w:keepNext/>
      <w:keepLines/>
      <w:spacing w:before="260" w:after="260" w:line="415" w:lineRule="auto"/>
      <w:outlineLvl w:val="2"/>
    </w:pPr>
    <w:rPr>
      <w:rFonts w:ascii="Calibri" w:hAnsi="Calibri" w:eastAsia="宋体" w:cs="Calibri"/>
      <w:b/>
      <w:bCs/>
      <w:sz w:val="32"/>
      <w:szCs w:val="32"/>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7"/>
    <w:unhideWhenUsed/>
    <w:qFormat/>
    <w:uiPriority w:val="99"/>
    <w:pPr>
      <w:spacing w:before="100" w:beforeAutospacing="1" w:after="120"/>
    </w:pPr>
    <w:rPr>
      <w:rFonts w:ascii="Calibri" w:hAnsi="Calibri" w:eastAsia="宋体" w:cs="Calibri"/>
      <w:szCs w:val="21"/>
    </w:rPr>
  </w:style>
  <w:style w:type="paragraph" w:styleId="5">
    <w:name w:val="Body Text Indent"/>
    <w:basedOn w:val="1"/>
    <w:link w:val="19"/>
    <w:unhideWhenUsed/>
    <w:qFormat/>
    <w:uiPriority w:val="99"/>
    <w:pPr>
      <w:spacing w:before="100" w:beforeAutospacing="1" w:after="100" w:afterAutospacing="1"/>
      <w:ind w:left="-105" w:firstLine="232" w:firstLineChars="232"/>
    </w:pPr>
    <w:rPr>
      <w:rFonts w:ascii="Calibri" w:hAnsi="Calibri" w:eastAsia="仿宋_GB2312" w:cs="Calibri"/>
      <w:sz w:val="32"/>
      <w:szCs w:val="32"/>
    </w:rPr>
  </w:style>
  <w:style w:type="paragraph" w:styleId="6">
    <w:name w:val="Plain Text"/>
    <w:basedOn w:val="1"/>
    <w:link w:val="20"/>
    <w:unhideWhenUsed/>
    <w:qFormat/>
    <w:uiPriority w:val="99"/>
    <w:rPr>
      <w:rFonts w:ascii="宋体" w:hAnsi="Courier New" w:eastAsia="宋体" w:cs="Courier New"/>
      <w:szCs w:val="21"/>
    </w:rPr>
  </w:style>
  <w:style w:type="paragraph" w:styleId="7">
    <w:name w:val="footer"/>
    <w:basedOn w:val="1"/>
    <w:link w:val="21"/>
    <w:unhideWhenUsed/>
    <w:qFormat/>
    <w:uiPriority w:val="99"/>
    <w:pPr>
      <w:snapToGrid w:val="0"/>
      <w:jc w:val="left"/>
    </w:pPr>
    <w:rPr>
      <w:rFonts w:ascii="Calibri" w:hAnsi="Calibri" w:eastAsia="宋体" w:cs="Calibri"/>
      <w:sz w:val="18"/>
      <w:szCs w:val="18"/>
    </w:rPr>
  </w:style>
  <w:style w:type="paragraph" w:styleId="8">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10">
    <w:name w:val="Body Text First Indent"/>
    <w:basedOn w:val="4"/>
    <w:next w:val="1"/>
    <w:link w:val="18"/>
    <w:unhideWhenUsed/>
    <w:qFormat/>
    <w:uiPriority w:val="99"/>
    <w:pPr>
      <w:ind w:firstLine="420" w:firstLineChars="1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0"/>
    <w:rPr>
      <w:rFonts w:ascii="Tahoma" w:hAnsi="Tahoma" w:eastAsia="宋体"/>
      <w:b/>
      <w:bCs/>
      <w:spacing w:val="10"/>
      <w:sz w:val="24"/>
      <w:lang w:val="en-US" w:eastAsia="zh-CN" w:bidi="ar-SA"/>
    </w:rPr>
  </w:style>
  <w:style w:type="character" w:customStyle="1" w:styleId="15">
    <w:name w:val="标题 2 Char"/>
    <w:basedOn w:val="13"/>
    <w:link w:val="2"/>
    <w:qFormat/>
    <w:uiPriority w:val="99"/>
    <w:rPr>
      <w:rFonts w:ascii="Arial" w:hAnsi="Arial" w:eastAsia="黑体" w:cs="Times New Roman"/>
      <w:b/>
      <w:bCs/>
      <w:sz w:val="32"/>
      <w:szCs w:val="32"/>
    </w:rPr>
  </w:style>
  <w:style w:type="character" w:customStyle="1" w:styleId="16">
    <w:name w:val="标题 3 Char"/>
    <w:basedOn w:val="13"/>
    <w:link w:val="3"/>
    <w:qFormat/>
    <w:uiPriority w:val="99"/>
    <w:rPr>
      <w:rFonts w:ascii="Calibri" w:hAnsi="Calibri" w:eastAsia="宋体" w:cs="Calibri"/>
      <w:b/>
      <w:bCs/>
      <w:sz w:val="32"/>
      <w:szCs w:val="32"/>
    </w:rPr>
  </w:style>
  <w:style w:type="character" w:customStyle="1" w:styleId="17">
    <w:name w:val="正文文本 Char"/>
    <w:basedOn w:val="13"/>
    <w:link w:val="4"/>
    <w:qFormat/>
    <w:uiPriority w:val="99"/>
    <w:rPr>
      <w:rFonts w:ascii="Calibri" w:hAnsi="Calibri" w:eastAsia="宋体" w:cs="Calibri"/>
      <w:szCs w:val="21"/>
    </w:rPr>
  </w:style>
  <w:style w:type="character" w:customStyle="1" w:styleId="18">
    <w:name w:val="正文首行缩进 Char"/>
    <w:basedOn w:val="17"/>
    <w:link w:val="10"/>
    <w:qFormat/>
    <w:uiPriority w:val="99"/>
    <w:rPr>
      <w:rFonts w:ascii="Calibri" w:hAnsi="Calibri" w:eastAsia="宋体" w:cs="Calibri"/>
      <w:szCs w:val="21"/>
    </w:rPr>
  </w:style>
  <w:style w:type="character" w:customStyle="1" w:styleId="19">
    <w:name w:val="正文文本缩进 Char"/>
    <w:basedOn w:val="13"/>
    <w:link w:val="5"/>
    <w:qFormat/>
    <w:uiPriority w:val="99"/>
    <w:rPr>
      <w:rFonts w:ascii="Calibri" w:hAnsi="Calibri" w:eastAsia="仿宋_GB2312" w:cs="Calibri"/>
      <w:sz w:val="32"/>
      <w:szCs w:val="32"/>
    </w:rPr>
  </w:style>
  <w:style w:type="character" w:customStyle="1" w:styleId="20">
    <w:name w:val="纯文本 Char"/>
    <w:basedOn w:val="13"/>
    <w:link w:val="6"/>
    <w:qFormat/>
    <w:uiPriority w:val="99"/>
    <w:rPr>
      <w:rFonts w:ascii="宋体" w:hAnsi="Courier New" w:eastAsia="宋体" w:cs="Courier New"/>
      <w:szCs w:val="21"/>
    </w:rPr>
  </w:style>
  <w:style w:type="character" w:customStyle="1" w:styleId="21">
    <w:name w:val="页脚 Char"/>
    <w:basedOn w:val="13"/>
    <w:link w:val="7"/>
    <w:qFormat/>
    <w:uiPriority w:val="99"/>
    <w:rPr>
      <w:rFonts w:ascii="Calibri" w:hAnsi="Calibri" w:eastAsia="宋体" w:cs="Calibri"/>
      <w:sz w:val="18"/>
      <w:szCs w:val="18"/>
    </w:rPr>
  </w:style>
  <w:style w:type="paragraph" w:customStyle="1" w:styleId="22">
    <w:name w:val="图"/>
    <w:basedOn w:val="1"/>
    <w:qFormat/>
    <w:uiPriority w:val="0"/>
    <w:pPr>
      <w:keepNext/>
      <w:adjustRightInd w:val="0"/>
      <w:spacing w:before="60" w:after="60" w:line="300" w:lineRule="auto"/>
      <w:jc w:val="center"/>
      <w:textAlignment w:val="center"/>
    </w:pPr>
    <w:rPr>
      <w:rFonts w:ascii="Cambria" w:hAnsi="Cambria" w:eastAsia="宋体" w:cs="Times New Roman"/>
      <w:snapToGrid w:val="0"/>
      <w:spacing w:val="20"/>
      <w:kern w:val="0"/>
      <w:sz w:val="24"/>
      <w:szCs w:val="20"/>
    </w:rPr>
  </w:style>
  <w:style w:type="paragraph" w:customStyle="1" w:styleId="23">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4">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5">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3202</Words>
  <Characters>3514</Characters>
  <Lines>50</Lines>
  <Paragraphs>14</Paragraphs>
  <TotalTime>12</TotalTime>
  <ScaleCrop>false</ScaleCrop>
  <LinksUpToDate>false</LinksUpToDate>
  <CharactersWithSpaces>3524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2023-05-23T02:11:00Z</dcterms:created>
  <dc:creator>xb21cn</dc:creator>
  <cp:lastModifiedBy>小壮</cp:lastModifiedBy>
  <cp:lastPrinted>2024-08-22T07:10:00Z</cp:lastPrinted>
  <dcterms:modified xsi:type="dcterms:W3CDTF">2024-08-23T07:59:29Z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11C004664394468BB9D956D38E1DA65F_13</vt:lpwstr>
  </property>
</Properties>
</file>