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0AD739">
      <w:pPr>
        <w:tabs>
          <w:tab w:val="left" w:pos="2600"/>
        </w:tabs>
        <w:spacing w:before="156" w:beforeLines="50" w:after="156" w:afterLines="50"/>
        <w:jc w:val="center"/>
        <w:rPr>
          <w:rFonts w:ascii="宋体" w:hAnsi="宋体"/>
          <w:b/>
          <w:bCs/>
          <w:sz w:val="44"/>
        </w:rPr>
      </w:pPr>
      <w:bookmarkStart w:id="0" w:name="_GoBack"/>
      <w:bookmarkEnd w:id="0"/>
      <w:r>
        <w:rPr>
          <w:rFonts w:hint="eastAsia" w:ascii="宋体" w:hAnsi="宋体"/>
          <w:b/>
          <w:bCs/>
          <w:sz w:val="44"/>
        </w:rPr>
        <w:t>招标公告</w:t>
      </w:r>
    </w:p>
    <w:p w14:paraId="6A0307FD">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根据《中华人民共和国招标投标法》、《中华人民共和国政府采购法》等法律、法规的规定，现就</w:t>
      </w:r>
      <w:r>
        <w:rPr>
          <w:rFonts w:hint="eastAsia" w:ascii="仿宋" w:hAnsi="仿宋" w:eastAsia="仿宋" w:cs="仿宋"/>
          <w:sz w:val="28"/>
          <w:szCs w:val="28"/>
          <w:u w:val="single"/>
          <w:lang w:val="en-US" w:eastAsia="zh-CN"/>
        </w:rPr>
        <w:t>江苏省盐城技师学院2024学年度</w:t>
      </w:r>
      <w:r>
        <w:rPr>
          <w:rFonts w:hint="eastAsia" w:ascii="仿宋" w:hAnsi="仿宋" w:eastAsia="仿宋" w:cs="仿宋"/>
          <w:sz w:val="28"/>
          <w:szCs w:val="28"/>
          <w:u w:val="single"/>
          <w:lang w:eastAsia="zh-CN"/>
        </w:rPr>
        <w:t>超市</w:t>
      </w:r>
      <w:r>
        <w:rPr>
          <w:rFonts w:hint="eastAsia" w:ascii="仿宋" w:hAnsi="仿宋" w:eastAsia="仿宋" w:cs="仿宋"/>
          <w:sz w:val="28"/>
          <w:szCs w:val="28"/>
          <w:u w:val="single"/>
        </w:rPr>
        <w:t>服务外包项目</w:t>
      </w:r>
      <w:r>
        <w:rPr>
          <w:rFonts w:hint="eastAsia" w:ascii="仿宋" w:hAnsi="仿宋" w:eastAsia="仿宋" w:cs="仿宋"/>
          <w:sz w:val="28"/>
          <w:szCs w:val="28"/>
        </w:rPr>
        <w:t>进行</w:t>
      </w:r>
      <w:r>
        <w:rPr>
          <w:rFonts w:hint="eastAsia" w:ascii="仿宋" w:hAnsi="仿宋" w:eastAsia="仿宋" w:cs="仿宋"/>
          <w:sz w:val="28"/>
          <w:szCs w:val="28"/>
          <w:u w:val="single"/>
        </w:rPr>
        <w:t>公开招标</w:t>
      </w:r>
      <w:r>
        <w:rPr>
          <w:rFonts w:hint="eastAsia" w:ascii="仿宋" w:hAnsi="仿宋" w:eastAsia="仿宋" w:cs="仿宋"/>
          <w:sz w:val="28"/>
          <w:szCs w:val="28"/>
        </w:rPr>
        <w:t>采购，欢迎合格的潜在投标人参加投标。</w:t>
      </w:r>
    </w:p>
    <w:p w14:paraId="3F7E9E53">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宋体" w:hAnsi="宋体" w:cs="黑体"/>
          <w:b/>
          <w:bCs/>
          <w:sz w:val="28"/>
          <w:szCs w:val="28"/>
        </w:rPr>
      </w:pPr>
      <w:r>
        <w:rPr>
          <w:rFonts w:hint="eastAsia" w:ascii="宋体" w:hAnsi="宋体" w:cs="黑体"/>
          <w:b/>
          <w:bCs/>
          <w:sz w:val="28"/>
          <w:szCs w:val="28"/>
        </w:rPr>
        <w:t>一、招标项目</w:t>
      </w:r>
    </w:p>
    <w:p w14:paraId="32623B5A">
      <w:pPr>
        <w:keepNext w:val="0"/>
        <w:keepLines w:val="0"/>
        <w:pageBreakBefore w:val="0"/>
        <w:kinsoku/>
        <w:wordWrap/>
        <w:overflowPunct/>
        <w:topLinePunct w:val="0"/>
        <w:autoSpaceDE/>
        <w:autoSpaceDN/>
        <w:bidi w:val="0"/>
        <w:adjustRightInd/>
        <w:snapToGrid/>
        <w:spacing w:line="500" w:lineRule="exact"/>
        <w:ind w:firstLine="548" w:firstLineChars="200"/>
        <w:textAlignment w:val="auto"/>
        <w:rPr>
          <w:rFonts w:hint="eastAsia" w:ascii="仿宋" w:hAnsi="仿宋" w:eastAsia="仿宋" w:cs="仿宋"/>
          <w:spacing w:val="-3"/>
          <w:sz w:val="28"/>
          <w:lang w:eastAsia="zh-CN"/>
        </w:rPr>
      </w:pPr>
      <w:r>
        <w:rPr>
          <w:rFonts w:hint="eastAsia" w:ascii="仿宋" w:hAnsi="仿宋" w:eastAsia="仿宋" w:cs="仿宋"/>
          <w:spacing w:val="-3"/>
          <w:sz w:val="28"/>
        </w:rPr>
        <w:t>项目名称：</w:t>
      </w:r>
      <w:r>
        <w:rPr>
          <w:rFonts w:hint="eastAsia" w:ascii="仿宋" w:hAnsi="仿宋" w:eastAsia="仿宋" w:cs="仿宋"/>
          <w:spacing w:val="-3"/>
          <w:sz w:val="28"/>
          <w:lang w:val="en-US" w:eastAsia="zh-CN"/>
        </w:rPr>
        <w:t>江苏省盐城技师学院2024学年度</w:t>
      </w:r>
      <w:r>
        <w:rPr>
          <w:rFonts w:hint="eastAsia" w:ascii="仿宋" w:hAnsi="仿宋" w:eastAsia="仿宋" w:cs="仿宋"/>
          <w:spacing w:val="-3"/>
          <w:sz w:val="28"/>
          <w:lang w:eastAsia="zh-CN"/>
        </w:rPr>
        <w:t>超市服务外包项目。</w:t>
      </w:r>
    </w:p>
    <w:p w14:paraId="6D35E03F">
      <w:pPr>
        <w:keepNext w:val="0"/>
        <w:keepLines w:val="0"/>
        <w:pageBreakBefore w:val="0"/>
        <w:kinsoku/>
        <w:wordWrap/>
        <w:overflowPunct/>
        <w:topLinePunct w:val="0"/>
        <w:autoSpaceDE/>
        <w:autoSpaceDN/>
        <w:bidi w:val="0"/>
        <w:adjustRightInd/>
        <w:snapToGrid/>
        <w:spacing w:line="500" w:lineRule="exact"/>
        <w:ind w:firstLine="548" w:firstLineChars="200"/>
        <w:textAlignment w:val="auto"/>
        <w:rPr>
          <w:rFonts w:hint="eastAsia" w:ascii="仿宋" w:hAnsi="仿宋" w:eastAsia="仿宋" w:cs="仿宋"/>
          <w:spacing w:val="-3"/>
          <w:sz w:val="28"/>
        </w:rPr>
      </w:pPr>
      <w:r>
        <w:rPr>
          <w:rFonts w:hint="eastAsia" w:ascii="仿宋" w:hAnsi="仿宋" w:eastAsia="仿宋" w:cs="仿宋"/>
          <w:spacing w:val="-3"/>
          <w:sz w:val="28"/>
        </w:rPr>
        <w:t>服务地点：</w:t>
      </w:r>
      <w:r>
        <w:rPr>
          <w:rFonts w:hint="eastAsia" w:ascii="仿宋" w:hAnsi="仿宋" w:eastAsia="仿宋" w:cs="仿宋"/>
          <w:spacing w:val="-3"/>
          <w:sz w:val="28"/>
          <w:lang w:eastAsia="zh-CN"/>
        </w:rPr>
        <w:t>采购人</w:t>
      </w:r>
      <w:r>
        <w:rPr>
          <w:rFonts w:hint="eastAsia" w:ascii="仿宋" w:hAnsi="仿宋" w:eastAsia="仿宋" w:cs="仿宋"/>
          <w:spacing w:val="-3"/>
          <w:sz w:val="28"/>
        </w:rPr>
        <w:t>指定地点。</w:t>
      </w:r>
    </w:p>
    <w:p w14:paraId="3558D720">
      <w:pPr>
        <w:widowControl/>
        <w:spacing w:line="500" w:lineRule="exact"/>
        <w:ind w:firstLine="548" w:firstLineChars="200"/>
        <w:jc w:val="left"/>
        <w:rPr>
          <w:rFonts w:hint="eastAsia" w:ascii="仿宋" w:hAnsi="仿宋" w:eastAsia="仿宋" w:cs="仿宋"/>
          <w:spacing w:val="-3"/>
          <w:sz w:val="28"/>
          <w:lang w:val="en-US" w:eastAsia="zh-CN"/>
        </w:rPr>
      </w:pPr>
      <w:r>
        <w:rPr>
          <w:rFonts w:hint="eastAsia" w:ascii="仿宋" w:hAnsi="仿宋" w:eastAsia="仿宋" w:cs="仿宋"/>
          <w:spacing w:val="-3"/>
          <w:sz w:val="28"/>
          <w:lang w:val="en-US" w:eastAsia="zh-CN"/>
        </w:rPr>
        <w:t>承包期：</w:t>
      </w:r>
      <w:r>
        <w:rPr>
          <w:rFonts w:hint="eastAsia" w:ascii="仿宋" w:hAnsi="仿宋" w:eastAsia="仿宋" w:cs="仿宋"/>
          <w:color w:val="000000"/>
          <w:spacing w:val="-3"/>
          <w:sz w:val="28"/>
        </w:rPr>
        <w:t>服务期限为</w:t>
      </w:r>
      <w:r>
        <w:rPr>
          <w:rFonts w:hint="eastAsia" w:ascii="仿宋" w:hAnsi="仿宋" w:eastAsia="仿宋" w:cs="仿宋"/>
          <w:color w:val="000000"/>
          <w:spacing w:val="-3"/>
          <w:sz w:val="28"/>
          <w:lang w:val="en-US" w:eastAsia="zh-CN"/>
        </w:rPr>
        <w:t>1</w:t>
      </w:r>
      <w:r>
        <w:rPr>
          <w:rFonts w:hint="eastAsia" w:ascii="仿宋" w:hAnsi="仿宋" w:eastAsia="仿宋" w:cs="仿宋"/>
          <w:color w:val="000000"/>
          <w:spacing w:val="-3"/>
          <w:sz w:val="28"/>
        </w:rPr>
        <w:t>年（202</w:t>
      </w:r>
      <w:r>
        <w:rPr>
          <w:rFonts w:hint="eastAsia" w:ascii="仿宋" w:hAnsi="仿宋" w:eastAsia="仿宋" w:cs="仿宋"/>
          <w:color w:val="000000"/>
          <w:spacing w:val="-3"/>
          <w:sz w:val="28"/>
          <w:lang w:val="en-US" w:eastAsia="zh-CN"/>
        </w:rPr>
        <w:t>4</w:t>
      </w:r>
      <w:r>
        <w:rPr>
          <w:rFonts w:hint="eastAsia" w:ascii="仿宋" w:hAnsi="仿宋" w:eastAsia="仿宋" w:cs="仿宋"/>
          <w:color w:val="000000"/>
          <w:spacing w:val="-3"/>
          <w:sz w:val="28"/>
        </w:rPr>
        <w:t>年秋学期和202</w:t>
      </w:r>
      <w:r>
        <w:rPr>
          <w:rFonts w:hint="eastAsia" w:ascii="仿宋" w:hAnsi="仿宋" w:eastAsia="仿宋" w:cs="仿宋"/>
          <w:color w:val="000000"/>
          <w:spacing w:val="-3"/>
          <w:sz w:val="28"/>
          <w:lang w:val="en-US" w:eastAsia="zh-CN"/>
        </w:rPr>
        <w:t>5</w:t>
      </w:r>
      <w:r>
        <w:rPr>
          <w:rFonts w:hint="eastAsia" w:ascii="仿宋" w:hAnsi="仿宋" w:eastAsia="仿宋" w:cs="仿宋"/>
          <w:color w:val="000000"/>
          <w:spacing w:val="-3"/>
          <w:sz w:val="28"/>
        </w:rPr>
        <w:t>年春学期），具体以学校校历或通知为准</w:t>
      </w:r>
      <w:r>
        <w:rPr>
          <w:rFonts w:hint="eastAsia" w:ascii="仿宋" w:hAnsi="仿宋" w:eastAsia="仿宋" w:cs="仿宋"/>
          <w:color w:val="000000"/>
          <w:spacing w:val="-3"/>
          <w:sz w:val="28"/>
          <w:lang w:eastAsia="zh-CN"/>
        </w:rPr>
        <w:t>，</w:t>
      </w:r>
      <w:r>
        <w:rPr>
          <w:rFonts w:hint="eastAsia" w:ascii="仿宋" w:hAnsi="仿宋" w:eastAsia="仿宋" w:cs="仿宋"/>
          <w:color w:val="000000"/>
          <w:spacing w:val="-3"/>
          <w:sz w:val="28"/>
          <w:lang w:val="en-US" w:eastAsia="zh-CN"/>
        </w:rPr>
        <w:t>中标人不得就具体经营天数向采购人提出任何异议</w:t>
      </w:r>
      <w:r>
        <w:rPr>
          <w:rFonts w:hint="eastAsia" w:ascii="仿宋" w:hAnsi="仿宋" w:eastAsia="仿宋" w:cs="仿宋"/>
          <w:color w:val="000000"/>
          <w:spacing w:val="-3"/>
          <w:sz w:val="28"/>
        </w:rPr>
        <w:t>。</w:t>
      </w:r>
    </w:p>
    <w:p w14:paraId="30C06C4C">
      <w:pPr>
        <w:keepNext w:val="0"/>
        <w:keepLines w:val="0"/>
        <w:pageBreakBefore w:val="0"/>
        <w:kinsoku/>
        <w:wordWrap/>
        <w:overflowPunct/>
        <w:topLinePunct w:val="0"/>
        <w:autoSpaceDE/>
        <w:autoSpaceDN/>
        <w:bidi w:val="0"/>
        <w:adjustRightInd/>
        <w:snapToGrid/>
        <w:spacing w:line="500" w:lineRule="exact"/>
        <w:ind w:firstLine="548" w:firstLineChars="200"/>
        <w:textAlignment w:val="auto"/>
        <w:rPr>
          <w:rFonts w:hint="eastAsia" w:ascii="仿宋" w:hAnsi="仿宋" w:eastAsia="仿宋" w:cs="仿宋"/>
          <w:sz w:val="28"/>
        </w:rPr>
      </w:pPr>
      <w:r>
        <w:rPr>
          <w:rFonts w:hint="eastAsia" w:ascii="仿宋" w:hAnsi="仿宋" w:eastAsia="仿宋" w:cs="仿宋"/>
          <w:spacing w:val="-3"/>
          <w:sz w:val="28"/>
        </w:rPr>
        <w:t>项目基本情况:</w:t>
      </w:r>
    </w:p>
    <w:p w14:paraId="3D309CB4">
      <w:pPr>
        <w:widowControl/>
        <w:spacing w:line="520" w:lineRule="exact"/>
        <w:ind w:firstLine="560" w:firstLineChars="200"/>
        <w:rPr>
          <w:rFonts w:hint="eastAsia" w:ascii="仿宋" w:hAnsi="仿宋" w:eastAsia="仿宋" w:cs="仿宋"/>
          <w:spacing w:val="-3"/>
          <w:sz w:val="28"/>
          <w:lang w:val="en-US" w:eastAsia="zh-CN"/>
        </w:rPr>
      </w:pPr>
      <w:r>
        <w:rPr>
          <w:rFonts w:hint="eastAsia" w:ascii="仿宋" w:hAnsi="仿宋" w:eastAsia="仿宋" w:cs="仿宋"/>
          <w:kern w:val="0"/>
          <w:sz w:val="28"/>
          <w:szCs w:val="28"/>
          <w:lang w:val="en-US" w:eastAsia="zh-CN"/>
        </w:rPr>
        <w:t>江苏省盐城技师学院现有</w:t>
      </w:r>
      <w:r>
        <w:rPr>
          <w:rFonts w:hint="eastAsia" w:ascii="仿宋" w:hAnsi="仿宋" w:eastAsia="仿宋" w:cs="仿宋"/>
          <w:kern w:val="0"/>
          <w:sz w:val="28"/>
          <w:szCs w:val="28"/>
        </w:rPr>
        <w:t>师生总人数近</w:t>
      </w:r>
      <w:r>
        <w:rPr>
          <w:rFonts w:hint="eastAsia" w:ascii="仿宋" w:hAnsi="仿宋" w:eastAsia="仿宋" w:cs="仿宋"/>
          <w:kern w:val="0"/>
          <w:sz w:val="28"/>
          <w:szCs w:val="28"/>
          <w:highlight w:val="none"/>
        </w:rPr>
        <w:t>1.5</w:t>
      </w:r>
      <w:r>
        <w:rPr>
          <w:rFonts w:hint="eastAsia" w:ascii="仿宋" w:hAnsi="仿宋" w:eastAsia="仿宋" w:cs="仿宋"/>
          <w:kern w:val="0"/>
          <w:sz w:val="28"/>
          <w:szCs w:val="28"/>
        </w:rPr>
        <w:t>万人（含走读生），每学期因学生实习等原因，会产生人数变化，</w:t>
      </w:r>
      <w:r>
        <w:rPr>
          <w:rFonts w:hint="eastAsia" w:ascii="仿宋" w:hAnsi="仿宋" w:eastAsia="仿宋" w:cs="仿宋"/>
          <w:kern w:val="0"/>
          <w:sz w:val="28"/>
          <w:szCs w:val="28"/>
          <w:lang w:val="en-US" w:eastAsia="zh-CN"/>
        </w:rPr>
        <w:t>采购人</w:t>
      </w:r>
      <w:r>
        <w:rPr>
          <w:rFonts w:hint="eastAsia" w:ascii="仿宋" w:hAnsi="仿宋" w:eastAsia="仿宋" w:cs="仿宋"/>
          <w:kern w:val="0"/>
          <w:sz w:val="28"/>
          <w:szCs w:val="28"/>
        </w:rPr>
        <w:t>不保证在超市的消费人数，投标者自负盈亏。</w:t>
      </w:r>
      <w:r>
        <w:rPr>
          <w:rFonts w:hint="eastAsia" w:ascii="仿宋" w:hAnsi="仿宋" w:eastAsia="仿宋" w:cs="仿宋"/>
          <w:sz w:val="28"/>
          <w:szCs w:val="28"/>
        </w:rPr>
        <w:t>项目位于</w:t>
      </w:r>
      <w:r>
        <w:rPr>
          <w:rFonts w:hint="eastAsia" w:ascii="仿宋" w:hAnsi="仿宋" w:eastAsia="仿宋" w:cs="仿宋"/>
          <w:sz w:val="28"/>
          <w:szCs w:val="28"/>
          <w:lang w:val="en-US" w:eastAsia="zh-CN"/>
        </w:rPr>
        <w:t>江苏省盐城技师学院</w:t>
      </w:r>
      <w:r>
        <w:rPr>
          <w:rFonts w:hint="eastAsia" w:ascii="仿宋" w:hAnsi="仿宋" w:eastAsia="仿宋" w:cs="仿宋"/>
          <w:sz w:val="28"/>
          <w:szCs w:val="28"/>
        </w:rPr>
        <w:t>文港路</w:t>
      </w:r>
      <w:r>
        <w:rPr>
          <w:rFonts w:hint="eastAsia" w:ascii="仿宋" w:hAnsi="仿宋" w:eastAsia="仿宋" w:cs="仿宋"/>
          <w:spacing w:val="-3"/>
          <w:sz w:val="28"/>
          <w:lang w:val="en-US" w:eastAsia="zh-CN"/>
        </w:rPr>
        <w:t>校区和海洋路校区内，项目分为4个标段，标段概况见下表。</w:t>
      </w:r>
    </w:p>
    <w:p w14:paraId="3E474278">
      <w:pPr>
        <w:spacing w:before="0"/>
        <w:ind w:left="376" w:right="213" w:firstLine="0"/>
        <w:jc w:val="center"/>
        <w:rPr>
          <w:rFonts w:ascii="Calibri" w:hAnsi="Calibri"/>
          <w:b/>
          <w:bCs w:val="0"/>
          <w:sz w:val="32"/>
        </w:rPr>
      </w:pPr>
      <w:r>
        <w:rPr>
          <w:rFonts w:hint="eastAsia" w:ascii="Calibri" w:hAnsi="Calibri"/>
          <w:b/>
          <w:bCs w:val="0"/>
          <w:sz w:val="32"/>
          <w:lang w:val="en-US" w:eastAsia="zh-CN"/>
        </w:rPr>
        <w:t>江苏省盐城技师学</w:t>
      </w:r>
      <w:r>
        <w:rPr>
          <w:rFonts w:hint="eastAsia" w:ascii="宋体" w:hAnsi="宋体" w:eastAsia="宋体" w:cs="宋体"/>
          <w:b/>
          <w:bCs w:val="0"/>
          <w:sz w:val="32"/>
          <w:lang w:val="en-US" w:eastAsia="zh-CN"/>
        </w:rPr>
        <w:t>院</w:t>
      </w:r>
      <w:r>
        <w:rPr>
          <w:rFonts w:hint="eastAsia" w:ascii="Calibri" w:hAnsi="Calibri"/>
          <w:b/>
          <w:bCs w:val="0"/>
          <w:sz w:val="32"/>
          <w:lang w:val="en-US" w:eastAsia="zh-CN"/>
        </w:rPr>
        <w:t>超市服务外包项目标段</w:t>
      </w:r>
      <w:r>
        <w:rPr>
          <w:rFonts w:ascii="Calibri" w:hAnsi="Calibri"/>
          <w:b/>
          <w:bCs w:val="0"/>
          <w:sz w:val="32"/>
        </w:rPr>
        <w:t>概况</w:t>
      </w:r>
    </w:p>
    <w:tbl>
      <w:tblPr>
        <w:tblStyle w:val="5"/>
        <w:tblW w:w="97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7"/>
        <w:gridCol w:w="1449"/>
        <w:gridCol w:w="2084"/>
        <w:gridCol w:w="3284"/>
        <w:gridCol w:w="2048"/>
      </w:tblGrid>
      <w:tr w14:paraId="020456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917" w:type="dxa"/>
            <w:tcBorders>
              <w:top w:val="single" w:color="000000" w:sz="4" w:space="0"/>
              <w:left w:val="single" w:color="000000" w:sz="4" w:space="0"/>
              <w:bottom w:val="single" w:color="000000" w:sz="4" w:space="0"/>
              <w:right w:val="single" w:color="000000" w:sz="4" w:space="0"/>
            </w:tcBorders>
            <w:noWrap w:val="0"/>
            <w:vAlign w:val="center"/>
          </w:tcPr>
          <w:p w14:paraId="52AEE254">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标段号</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782DB66A">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所在校区</w:t>
            </w:r>
          </w:p>
        </w:tc>
        <w:tc>
          <w:tcPr>
            <w:tcW w:w="2084" w:type="dxa"/>
            <w:tcBorders>
              <w:top w:val="single" w:color="000000" w:sz="4" w:space="0"/>
              <w:left w:val="single" w:color="000000" w:sz="4" w:space="0"/>
              <w:bottom w:val="single" w:color="000000" w:sz="4" w:space="0"/>
              <w:right w:val="single" w:color="000000" w:sz="4" w:space="0"/>
            </w:tcBorders>
            <w:noWrap w:val="0"/>
            <w:vAlign w:val="center"/>
          </w:tcPr>
          <w:p w14:paraId="5601AC2A">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超市名称</w:t>
            </w:r>
          </w:p>
        </w:tc>
        <w:tc>
          <w:tcPr>
            <w:tcW w:w="3284" w:type="dxa"/>
            <w:tcBorders>
              <w:top w:val="single" w:color="000000" w:sz="4" w:space="0"/>
              <w:left w:val="single" w:color="000000" w:sz="4" w:space="0"/>
              <w:bottom w:val="single" w:color="000000" w:sz="4" w:space="0"/>
              <w:right w:val="single" w:color="000000" w:sz="4" w:space="0"/>
            </w:tcBorders>
            <w:noWrap w:val="0"/>
            <w:vAlign w:val="center"/>
          </w:tcPr>
          <w:p w14:paraId="53296645">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所处位置</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14:paraId="6E57A758">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rPr>
              <w:t>超市面积（约）</w:t>
            </w:r>
            <w:r>
              <w:rPr>
                <w:rFonts w:hint="eastAsia" w:ascii="宋体" w:hAnsi="宋体" w:eastAsia="宋体" w:cs="宋体"/>
                <w:b/>
                <w:sz w:val="24"/>
                <w:szCs w:val="24"/>
                <w:lang w:val="en-US" w:eastAsia="zh-CN"/>
              </w:rPr>
              <w:t>㎡</w:t>
            </w:r>
          </w:p>
        </w:tc>
      </w:tr>
      <w:tr w14:paraId="3C1B4F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jc w:val="center"/>
        </w:trPr>
        <w:tc>
          <w:tcPr>
            <w:tcW w:w="917" w:type="dxa"/>
            <w:tcBorders>
              <w:top w:val="single" w:color="000000" w:sz="4" w:space="0"/>
              <w:left w:val="single" w:color="000000" w:sz="4" w:space="0"/>
              <w:bottom w:val="single" w:color="000000" w:sz="4" w:space="0"/>
              <w:right w:val="single" w:color="000000" w:sz="4" w:space="0"/>
            </w:tcBorders>
            <w:noWrap w:val="0"/>
            <w:vAlign w:val="center"/>
          </w:tcPr>
          <w:p w14:paraId="1F991C39">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b/>
                <w:sz w:val="24"/>
                <w:szCs w:val="24"/>
              </w:rPr>
            </w:pPr>
            <w:r>
              <w:rPr>
                <w:rFonts w:hint="eastAsia" w:ascii="仿宋" w:hAnsi="仿宋" w:eastAsia="仿宋" w:cs="仿宋"/>
                <w:b/>
                <w:sz w:val="24"/>
                <w:szCs w:val="24"/>
              </w:rPr>
              <w:t>1</w:t>
            </w:r>
          </w:p>
        </w:tc>
        <w:tc>
          <w:tcPr>
            <w:tcW w:w="1449" w:type="dxa"/>
            <w:vMerge w:val="restart"/>
            <w:tcBorders>
              <w:top w:val="single" w:color="000000" w:sz="4" w:space="0"/>
              <w:left w:val="single" w:color="000000" w:sz="4" w:space="0"/>
              <w:right w:val="single" w:color="000000" w:sz="4" w:space="0"/>
            </w:tcBorders>
            <w:noWrap w:val="0"/>
            <w:vAlign w:val="center"/>
          </w:tcPr>
          <w:p w14:paraId="6F8A8A73">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文港路校区</w:t>
            </w:r>
          </w:p>
        </w:tc>
        <w:tc>
          <w:tcPr>
            <w:tcW w:w="2084" w:type="dxa"/>
            <w:tcBorders>
              <w:top w:val="single" w:color="000000" w:sz="4" w:space="0"/>
              <w:left w:val="single" w:color="000000" w:sz="4" w:space="0"/>
              <w:bottom w:val="single" w:color="000000" w:sz="4" w:space="0"/>
              <w:right w:val="single" w:color="000000" w:sz="4" w:space="0"/>
            </w:tcBorders>
            <w:noWrap w:val="0"/>
            <w:vAlign w:val="center"/>
          </w:tcPr>
          <w:p w14:paraId="293B4144">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文港路东超市</w:t>
            </w:r>
          </w:p>
        </w:tc>
        <w:tc>
          <w:tcPr>
            <w:tcW w:w="3284" w:type="dxa"/>
            <w:tcBorders>
              <w:top w:val="nil"/>
              <w:left w:val="single" w:color="000000" w:sz="4" w:space="0"/>
              <w:bottom w:val="single" w:color="000000" w:sz="4" w:space="0"/>
              <w:right w:val="single" w:color="000000" w:sz="4" w:space="0"/>
            </w:tcBorders>
            <w:noWrap w:val="0"/>
            <w:vAlign w:val="center"/>
          </w:tcPr>
          <w:p w14:paraId="5A9078AF">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文港路校区后勤服务中心一楼</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14:paraId="02AFA9E1">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10</w:t>
            </w:r>
            <w:r>
              <w:rPr>
                <w:rFonts w:hint="eastAsia" w:ascii="仿宋" w:hAnsi="仿宋" w:eastAsia="仿宋" w:cs="仿宋"/>
                <w:sz w:val="24"/>
                <w:szCs w:val="24"/>
              </w:rPr>
              <w:t>00㎡</w:t>
            </w:r>
          </w:p>
        </w:tc>
      </w:tr>
      <w:tr w14:paraId="6F2AB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917" w:type="dxa"/>
            <w:tcBorders>
              <w:top w:val="nil"/>
              <w:left w:val="single" w:color="000000" w:sz="4" w:space="0"/>
              <w:bottom w:val="single" w:color="000000" w:sz="4" w:space="0"/>
              <w:right w:val="single" w:color="000000" w:sz="4" w:space="0"/>
            </w:tcBorders>
            <w:noWrap w:val="0"/>
            <w:vAlign w:val="center"/>
          </w:tcPr>
          <w:p w14:paraId="440559F3">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b/>
                <w:sz w:val="24"/>
                <w:szCs w:val="24"/>
              </w:rPr>
            </w:pPr>
            <w:r>
              <w:rPr>
                <w:rFonts w:hint="eastAsia" w:ascii="仿宋" w:hAnsi="仿宋" w:eastAsia="仿宋" w:cs="仿宋"/>
                <w:b/>
                <w:sz w:val="24"/>
                <w:szCs w:val="24"/>
              </w:rPr>
              <w:t>2</w:t>
            </w:r>
          </w:p>
        </w:tc>
        <w:tc>
          <w:tcPr>
            <w:tcW w:w="1449" w:type="dxa"/>
            <w:vMerge w:val="continue"/>
            <w:tcBorders>
              <w:left w:val="single" w:color="000000" w:sz="4" w:space="0"/>
              <w:bottom w:val="single" w:color="000000" w:sz="4" w:space="0"/>
              <w:right w:val="single" w:color="000000" w:sz="4" w:space="0"/>
            </w:tcBorders>
            <w:noWrap w:val="0"/>
            <w:vAlign w:val="center"/>
          </w:tcPr>
          <w:p w14:paraId="163C1B34">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p>
        </w:tc>
        <w:tc>
          <w:tcPr>
            <w:tcW w:w="2084" w:type="dxa"/>
            <w:tcBorders>
              <w:top w:val="single" w:color="000000" w:sz="4" w:space="0"/>
              <w:left w:val="single" w:color="000000" w:sz="4" w:space="0"/>
              <w:bottom w:val="single" w:color="000000" w:sz="4" w:space="0"/>
              <w:right w:val="single" w:color="000000" w:sz="4" w:space="0"/>
            </w:tcBorders>
            <w:noWrap w:val="0"/>
            <w:vAlign w:val="center"/>
          </w:tcPr>
          <w:p w14:paraId="50279050">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文港路西超市</w:t>
            </w:r>
          </w:p>
        </w:tc>
        <w:tc>
          <w:tcPr>
            <w:tcW w:w="3284" w:type="dxa"/>
            <w:tcBorders>
              <w:top w:val="nil"/>
              <w:left w:val="single" w:color="000000" w:sz="4" w:space="0"/>
              <w:bottom w:val="single" w:color="000000" w:sz="4" w:space="0"/>
              <w:right w:val="single" w:color="000000" w:sz="4" w:space="0"/>
            </w:tcBorders>
            <w:noWrap w:val="0"/>
            <w:vAlign w:val="center"/>
          </w:tcPr>
          <w:p w14:paraId="6E41C646">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文港路校区西校园食堂一楼内</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14:paraId="250EAE7C">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70㎡</w:t>
            </w:r>
          </w:p>
        </w:tc>
      </w:tr>
      <w:tr w14:paraId="764800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917" w:type="dxa"/>
            <w:tcBorders>
              <w:top w:val="single" w:color="000000" w:sz="4" w:space="0"/>
              <w:left w:val="single" w:color="000000" w:sz="4" w:space="0"/>
              <w:bottom w:val="single" w:color="000000" w:sz="4" w:space="0"/>
              <w:right w:val="single" w:color="000000" w:sz="4" w:space="0"/>
            </w:tcBorders>
            <w:noWrap w:val="0"/>
            <w:vAlign w:val="center"/>
          </w:tcPr>
          <w:p w14:paraId="12394A2C">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b/>
                <w:sz w:val="24"/>
                <w:szCs w:val="24"/>
              </w:rPr>
              <w:t>3</w:t>
            </w:r>
          </w:p>
        </w:tc>
        <w:tc>
          <w:tcPr>
            <w:tcW w:w="1449" w:type="dxa"/>
            <w:vMerge w:val="restart"/>
            <w:tcBorders>
              <w:top w:val="single" w:color="000000" w:sz="4" w:space="0"/>
              <w:left w:val="single" w:color="000000" w:sz="4" w:space="0"/>
              <w:right w:val="single" w:color="000000" w:sz="4" w:space="0"/>
            </w:tcBorders>
            <w:noWrap w:val="0"/>
            <w:vAlign w:val="center"/>
          </w:tcPr>
          <w:p w14:paraId="1A12B74A">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海洋路校区</w:t>
            </w:r>
          </w:p>
        </w:tc>
        <w:tc>
          <w:tcPr>
            <w:tcW w:w="2084" w:type="dxa"/>
            <w:tcBorders>
              <w:top w:val="single" w:color="000000" w:sz="4" w:space="0"/>
              <w:left w:val="single" w:color="000000" w:sz="4" w:space="0"/>
              <w:bottom w:val="single" w:color="000000" w:sz="4" w:space="0"/>
              <w:right w:val="single" w:color="000000" w:sz="4" w:space="0"/>
            </w:tcBorders>
            <w:noWrap w:val="0"/>
            <w:vAlign w:val="center"/>
          </w:tcPr>
          <w:p w14:paraId="22D2E33B">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海洋路东超市</w:t>
            </w:r>
          </w:p>
        </w:tc>
        <w:tc>
          <w:tcPr>
            <w:tcW w:w="3284" w:type="dxa"/>
            <w:tcBorders>
              <w:top w:val="nil"/>
              <w:left w:val="single" w:color="000000" w:sz="4" w:space="0"/>
              <w:bottom w:val="single" w:color="000000" w:sz="4" w:space="0"/>
              <w:right w:val="single" w:color="000000" w:sz="4" w:space="0"/>
            </w:tcBorders>
            <w:noWrap w:val="0"/>
            <w:vAlign w:val="center"/>
          </w:tcPr>
          <w:p w14:paraId="1BCD9260">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海洋路校区4号楼一楼西侧</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14:paraId="0185E7A2">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00㎡</w:t>
            </w:r>
          </w:p>
        </w:tc>
      </w:tr>
      <w:tr w14:paraId="336E44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917" w:type="dxa"/>
            <w:tcBorders>
              <w:top w:val="single" w:color="000000" w:sz="4" w:space="0"/>
              <w:left w:val="single" w:color="000000" w:sz="4" w:space="0"/>
              <w:bottom w:val="single" w:color="000000" w:sz="4" w:space="0"/>
              <w:right w:val="single" w:color="000000" w:sz="4" w:space="0"/>
            </w:tcBorders>
            <w:noWrap w:val="0"/>
            <w:vAlign w:val="center"/>
          </w:tcPr>
          <w:p w14:paraId="185CC28B">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b/>
                <w:sz w:val="24"/>
                <w:szCs w:val="24"/>
              </w:rPr>
            </w:pPr>
            <w:r>
              <w:rPr>
                <w:rFonts w:hint="eastAsia" w:ascii="仿宋" w:hAnsi="仿宋" w:eastAsia="仿宋" w:cs="仿宋"/>
                <w:b/>
                <w:sz w:val="24"/>
                <w:szCs w:val="24"/>
              </w:rPr>
              <w:t>4</w:t>
            </w:r>
          </w:p>
        </w:tc>
        <w:tc>
          <w:tcPr>
            <w:tcW w:w="1449" w:type="dxa"/>
            <w:vMerge w:val="continue"/>
            <w:tcBorders>
              <w:left w:val="single" w:color="000000" w:sz="4" w:space="0"/>
              <w:bottom w:val="single" w:color="000000" w:sz="4" w:space="0"/>
              <w:right w:val="single" w:color="000000" w:sz="4" w:space="0"/>
            </w:tcBorders>
            <w:noWrap w:val="0"/>
            <w:vAlign w:val="center"/>
          </w:tcPr>
          <w:p w14:paraId="72B5B522">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p>
        </w:tc>
        <w:tc>
          <w:tcPr>
            <w:tcW w:w="2084" w:type="dxa"/>
            <w:tcBorders>
              <w:top w:val="single" w:color="000000" w:sz="4" w:space="0"/>
              <w:left w:val="single" w:color="000000" w:sz="4" w:space="0"/>
              <w:bottom w:val="single" w:color="000000" w:sz="4" w:space="0"/>
              <w:right w:val="single" w:color="000000" w:sz="4" w:space="0"/>
            </w:tcBorders>
            <w:noWrap w:val="0"/>
            <w:vAlign w:val="center"/>
          </w:tcPr>
          <w:p w14:paraId="558EFF89">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海洋路西超市</w:t>
            </w:r>
          </w:p>
        </w:tc>
        <w:tc>
          <w:tcPr>
            <w:tcW w:w="3284" w:type="dxa"/>
            <w:tcBorders>
              <w:top w:val="nil"/>
              <w:left w:val="single" w:color="000000" w:sz="4" w:space="0"/>
              <w:bottom w:val="single" w:color="000000" w:sz="4" w:space="0"/>
              <w:right w:val="single" w:color="000000" w:sz="4" w:space="0"/>
            </w:tcBorders>
            <w:noWrap w:val="0"/>
            <w:vAlign w:val="center"/>
          </w:tcPr>
          <w:p w14:paraId="3AC9F098">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海洋路校区</w:t>
            </w:r>
            <w:r>
              <w:rPr>
                <w:rFonts w:hint="eastAsia" w:ascii="仿宋" w:hAnsi="仿宋" w:eastAsia="仿宋" w:cs="仿宋"/>
                <w:sz w:val="24"/>
                <w:szCs w:val="24"/>
                <w:lang w:eastAsia="zh-CN"/>
              </w:rPr>
              <w:t>匠心轩</w:t>
            </w:r>
            <w:r>
              <w:rPr>
                <w:rFonts w:hint="eastAsia" w:ascii="仿宋" w:hAnsi="仿宋" w:eastAsia="仿宋" w:cs="仿宋"/>
                <w:sz w:val="24"/>
                <w:szCs w:val="24"/>
              </w:rPr>
              <w:t>一楼西侧</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14:paraId="7A4D4D0C">
            <w:pPr>
              <w:keepNext w:val="0"/>
              <w:keepLines w:val="0"/>
              <w:pageBreakBefore w:val="0"/>
              <w:widowControl w:val="0"/>
              <w:kinsoku/>
              <w:wordWrap/>
              <w:overflowPunct/>
              <w:topLinePunct w:val="0"/>
              <w:autoSpaceDE/>
              <w:autoSpaceDN/>
              <w:bidi w:val="0"/>
              <w:adjustRightInd/>
              <w:snapToGrid/>
              <w:spacing w:before="156" w:beforeLines="50" w:after="156" w:afterLines="50" w:line="3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5</w:t>
            </w:r>
            <w:r>
              <w:rPr>
                <w:rFonts w:hint="eastAsia" w:ascii="仿宋" w:hAnsi="仿宋" w:eastAsia="仿宋" w:cs="仿宋"/>
                <w:sz w:val="24"/>
                <w:szCs w:val="24"/>
              </w:rPr>
              <w:t>0㎡</w:t>
            </w:r>
          </w:p>
        </w:tc>
      </w:tr>
    </w:tbl>
    <w:p w14:paraId="062055D4">
      <w:pPr>
        <w:pStyle w:val="4"/>
        <w:keepNext w:val="0"/>
        <w:keepLines w:val="0"/>
        <w:pageBreakBefore w:val="0"/>
        <w:widowControl w:val="0"/>
        <w:kinsoku/>
        <w:wordWrap/>
        <w:overflowPunct/>
        <w:topLinePunct w:val="0"/>
        <w:autoSpaceDE/>
        <w:autoSpaceDN/>
        <w:bidi w:val="0"/>
        <w:adjustRightInd/>
        <w:snapToGrid/>
        <w:spacing w:line="500" w:lineRule="exact"/>
        <w:ind w:left="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备注：</w:t>
      </w:r>
    </w:p>
    <w:p w14:paraId="310AA3B9">
      <w:pPr>
        <w:pStyle w:val="4"/>
        <w:keepNext w:val="0"/>
        <w:keepLines w:val="0"/>
        <w:pageBreakBefore w:val="0"/>
        <w:widowControl w:val="0"/>
        <w:kinsoku/>
        <w:wordWrap/>
        <w:overflowPunct/>
        <w:topLinePunct w:val="0"/>
        <w:autoSpaceDE/>
        <w:autoSpaceDN/>
        <w:bidi w:val="0"/>
        <w:adjustRightInd/>
        <w:snapToGrid/>
        <w:spacing w:line="500" w:lineRule="exact"/>
        <w:ind w:left="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四个超市需均按采购人指定区域使用，不得超出该区域，在采购人指定区域投放指定数量的自动售货机。水、电表已连接到位并能独立计费，预留校园一卡通接口，师生可凭卡消费，中标人必须自行安装收银系统，所有支付方式均需纳入收银系统并提供小票。采购人不安排经营者及员工等的住宿。</w:t>
      </w:r>
    </w:p>
    <w:p w14:paraId="037F57E5">
      <w:pPr>
        <w:pStyle w:val="4"/>
        <w:keepNext w:val="0"/>
        <w:keepLines w:val="0"/>
        <w:pageBreakBefore w:val="0"/>
        <w:widowControl w:val="0"/>
        <w:kinsoku/>
        <w:wordWrap/>
        <w:overflowPunct/>
        <w:topLinePunct w:val="0"/>
        <w:autoSpaceDE/>
        <w:autoSpaceDN/>
        <w:bidi w:val="0"/>
        <w:adjustRightInd/>
        <w:snapToGrid/>
        <w:spacing w:line="500" w:lineRule="exact"/>
        <w:ind w:left="0"/>
        <w:textAlignment w:val="auto"/>
        <w:rPr>
          <w:rFonts w:hint="eastAsia" w:ascii="仿宋" w:hAnsi="仿宋" w:eastAsia="仿宋" w:cs="仿宋"/>
          <w:b/>
          <w:bCs/>
          <w:spacing w:val="-16"/>
          <w:sz w:val="28"/>
          <w:szCs w:val="28"/>
          <w:lang w:val="en-US" w:eastAsia="zh-CN"/>
        </w:rPr>
      </w:pPr>
      <w:r>
        <w:rPr>
          <w:rFonts w:hint="eastAsia" w:ascii="仿宋" w:hAnsi="仿宋" w:eastAsia="仿宋" w:cs="仿宋"/>
          <w:b/>
          <w:bCs/>
          <w:sz w:val="28"/>
          <w:szCs w:val="28"/>
          <w:lang w:val="en-US" w:eastAsia="zh-CN"/>
        </w:rPr>
        <w:t>2.本项目分为4个标段，投标人可多标段投标，</w:t>
      </w:r>
      <w:r>
        <w:rPr>
          <w:rFonts w:hint="eastAsia" w:ascii="仿宋" w:hAnsi="仿宋" w:eastAsia="仿宋" w:cs="仿宋"/>
          <w:b/>
          <w:bCs/>
          <w:sz w:val="32"/>
          <w:szCs w:val="32"/>
          <w:lang w:val="en-US" w:eastAsia="zh-CN"/>
        </w:rPr>
        <w:t>兼投不兼中</w:t>
      </w:r>
      <w:r>
        <w:rPr>
          <w:rFonts w:hint="eastAsia" w:ascii="仿宋" w:hAnsi="仿宋" w:eastAsia="仿宋" w:cs="仿宋"/>
          <w:b/>
          <w:bCs/>
          <w:sz w:val="28"/>
          <w:szCs w:val="28"/>
          <w:lang w:val="en-US" w:eastAsia="zh-CN"/>
        </w:rPr>
        <w:t>，多标段投标的投标人，需分标段制作和封装投标文件，多标段中标的投标人，只可选择其中一个标段中标</w:t>
      </w:r>
      <w:r>
        <w:rPr>
          <w:rFonts w:hint="eastAsia" w:ascii="仿宋" w:hAnsi="仿宋" w:eastAsia="仿宋" w:cs="仿宋"/>
          <w:b/>
          <w:bCs/>
          <w:spacing w:val="-16"/>
          <w:sz w:val="28"/>
          <w:szCs w:val="28"/>
          <w:lang w:val="en-US" w:eastAsia="zh-CN"/>
        </w:rPr>
        <w:t>；</w:t>
      </w:r>
    </w:p>
    <w:p w14:paraId="5740C53B">
      <w:pPr>
        <w:pStyle w:val="4"/>
        <w:keepNext w:val="0"/>
        <w:keepLines w:val="0"/>
        <w:pageBreakBefore w:val="0"/>
        <w:widowControl w:val="0"/>
        <w:kinsoku/>
        <w:wordWrap/>
        <w:overflowPunct/>
        <w:topLinePunct w:val="0"/>
        <w:autoSpaceDE/>
        <w:autoSpaceDN/>
        <w:bidi w:val="0"/>
        <w:adjustRightInd/>
        <w:snapToGrid/>
        <w:spacing w:line="500" w:lineRule="exact"/>
        <w:ind w:left="0"/>
        <w:textAlignment w:val="auto"/>
        <w:rPr>
          <w:rFonts w:hint="default" w:ascii="仿宋" w:hAnsi="仿宋" w:eastAsia="仿宋" w:cs="仿宋"/>
          <w:b/>
          <w:bCs/>
          <w:spacing w:val="-16"/>
          <w:sz w:val="28"/>
          <w:szCs w:val="28"/>
          <w:lang w:val="en-US" w:eastAsia="zh-CN"/>
        </w:rPr>
      </w:pPr>
      <w:r>
        <w:rPr>
          <w:rFonts w:hint="eastAsia" w:ascii="仿宋" w:hAnsi="仿宋" w:eastAsia="仿宋" w:cs="仿宋"/>
          <w:b/>
          <w:bCs/>
          <w:spacing w:val="-16"/>
          <w:sz w:val="28"/>
          <w:szCs w:val="28"/>
          <w:lang w:val="en-US" w:eastAsia="zh-CN"/>
        </w:rPr>
        <w:t>3.采购人不集中组织现场踏勘，投标人应当充分了解现场状况，投标人应自行进行现场踏勘，未踏勘现场导致的对项目需求了解不充分的，由投标人自行承担。现场踏勘联系人，王老师13921875229。</w:t>
      </w:r>
    </w:p>
    <w:p w14:paraId="52D3D143">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ascii="宋体" w:hAnsi="宋体" w:cs="黑体"/>
          <w:b/>
          <w:bCs/>
          <w:sz w:val="28"/>
          <w:szCs w:val="28"/>
        </w:rPr>
      </w:pPr>
      <w:r>
        <w:rPr>
          <w:rFonts w:hint="eastAsia" w:ascii="宋体" w:hAnsi="宋体" w:cs="黑体"/>
          <w:b/>
          <w:bCs/>
          <w:sz w:val="28"/>
          <w:szCs w:val="28"/>
        </w:rPr>
        <w:t>二、投标人须具备的资格条件</w:t>
      </w:r>
    </w:p>
    <w:p w14:paraId="44BB5E2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1.投标人应当具备《政府采购法》第二十二条规定的条件。</w:t>
      </w:r>
    </w:p>
    <w:p w14:paraId="5E9C6836">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2.具备有符合法律法规及国家有关政策规定设立的超市连锁店以及商品批发零售相关类别企业，为企业法人，具备独立法人资格，能独立承担民事责任，具有相应的超市连锁店的经营服务能力。</w:t>
      </w:r>
    </w:p>
    <w:p w14:paraId="35671BA5">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3.投标人必须提供经营商品批发零售的营业执照（副本），具有有效期内的食品经营许可证。</w:t>
      </w:r>
    </w:p>
    <w:p w14:paraId="75D4718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4.遵守国家法律法规，具有良好的商业信誉和良好的财务状况；具有依法缴纳税款的良好记录；具有完善的质量保证体系和良好的售后服务能力。</w:t>
      </w:r>
    </w:p>
    <w:p w14:paraId="2A3FA02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5.投标人具有至少1家在营直营店且经营面积不低于（≥）70平米（投标人提供相关证明材料）。</w:t>
      </w:r>
    </w:p>
    <w:p w14:paraId="7A63EDF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6.委派的超市项目经理须具备高中文化及以上学历，且具备以下资格要求：</w:t>
      </w:r>
    </w:p>
    <w:p w14:paraId="6386335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（1）年龄要求：25周岁-55周岁（提供身份证复印件，原件备查）。</w:t>
      </w:r>
    </w:p>
    <w:p w14:paraId="6E782CF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（2）出具所在公司的有效证书或者劳动合同（项目经理是法人代表不需要提供；提供投标截止日前1个月缴纳社保的证明材料以及证书复印件，原件备查）。</w:t>
      </w:r>
    </w:p>
    <w:p w14:paraId="25F432F0">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（3）身体健康且无违法犯罪记录（提供健康证复印件或网上截图，原件备查）。</w:t>
      </w:r>
    </w:p>
    <w:p w14:paraId="44B1D662">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具有超市管理服务经历，熟悉超市管理服务工作特点（提供超市管理服务合同复印件原件，合同中须显示项目负责人姓名；如合同中未显示项目负责人姓名，则须提供加盖被服务单位公章的书面证明材料）。</w:t>
      </w:r>
    </w:p>
    <w:p w14:paraId="534F1590">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（5）委派的超市项目经理不得更换，经营期间需全程在现场管理。</w:t>
      </w:r>
    </w:p>
    <w:p w14:paraId="5C02F24C">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（6）配备专、兼职的食品安全员、价格管理员、消防安全员，提供相关证书或材料。</w:t>
      </w:r>
    </w:p>
    <w:p w14:paraId="12F404E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7.本次招标不接受非超市连锁店以及非商品批发零售相关企业的投标，不接受个人名义的投标、不接受联合体投标及分包转包，不接受投标人中标后以子公司的名义为本项目提供服务。</w:t>
      </w:r>
    </w:p>
    <w:p w14:paraId="430DFBB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8.《诚实守信承诺书》。</w:t>
      </w:r>
    </w:p>
    <w:p w14:paraId="4CE4B20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9.2019年（含）以来所经营的所有超市连锁商店未发生过食品安全和其他安全事故并书面承诺。</w:t>
      </w:r>
    </w:p>
    <w:p w14:paraId="07A9EBC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10.法定代表人为同一人或者存在直接控股、管理关系的不同投标人，不得同时参加本项目投标。</w:t>
      </w:r>
    </w:p>
    <w:p w14:paraId="76AAB672">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11.本项目严禁以“挂靠”等形式投标或骗取中标，一经发现取消投标、中标资格，并按相关规定没收投标保证金（投标阶段）、履约保证金（中标签订合同后）。</w:t>
      </w:r>
    </w:p>
    <w:p w14:paraId="4ADB8A4C">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12.未被“信用中国”网站（www.creditchina.gov.cn）等列入失信被执行人、重大税收违法案件当事人名单、政府采购严重失信行为记录名单。</w:t>
      </w:r>
    </w:p>
    <w:p w14:paraId="25D89C2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13.2019年（含）以来所经营的所有超市连锁商店未发生过有责任的法律纠纷并书面承诺。</w:t>
      </w:r>
    </w:p>
    <w:p w14:paraId="7A939DF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14.法律、行政法规规定的其他条件。</w:t>
      </w:r>
    </w:p>
    <w:p w14:paraId="426AD27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15.采购人上一轮的中标经营单位在领取招标文件前，必须出示采购人后勤保障处出具的彻底清场、退场证明材料以及许可报名的相应证明材料原件。</w:t>
      </w:r>
    </w:p>
    <w:p w14:paraId="26FAE8BB">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宋体" w:hAnsi="宋体" w:cs="黑体"/>
          <w:b/>
          <w:bCs/>
          <w:sz w:val="28"/>
          <w:szCs w:val="28"/>
          <w:lang w:val="en-US" w:eastAsia="zh-CN"/>
        </w:rPr>
      </w:pPr>
      <w:r>
        <w:rPr>
          <w:rFonts w:hint="eastAsia" w:ascii="宋体" w:hAnsi="宋体" w:cs="黑体"/>
          <w:b/>
          <w:bCs/>
          <w:sz w:val="28"/>
          <w:szCs w:val="28"/>
          <w:lang w:val="en-US" w:eastAsia="zh-CN"/>
        </w:rPr>
        <w:t>三、投标保证金</w:t>
      </w:r>
    </w:p>
    <w:p w14:paraId="628A42B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投标保证金为</w:t>
      </w:r>
      <w:r>
        <w:rPr>
          <w:rFonts w:hint="eastAsia" w:ascii="仿宋" w:hAnsi="仿宋" w:eastAsia="仿宋" w:cs="仿宋"/>
          <w:b/>
          <w:bCs/>
          <w:sz w:val="28"/>
          <w:szCs w:val="28"/>
          <w:u w:val="single"/>
          <w:lang w:val="en-US" w:eastAsia="zh-CN"/>
        </w:rPr>
        <w:t>贰万元/标段</w:t>
      </w:r>
      <w:r>
        <w:rPr>
          <w:rFonts w:hint="eastAsia" w:ascii="仿宋" w:hAnsi="仿宋" w:eastAsia="仿宋" w:cs="仿宋"/>
          <w:sz w:val="28"/>
          <w:szCs w:val="28"/>
          <w:lang w:val="en-US" w:eastAsia="zh-CN"/>
        </w:rPr>
        <w:t>，投标保证金的交纳形式为有效银行本票（同城）或银行汇票（异地）。不接受电汇、转账、现金、现金交款单、支票或其他形式的保证金，投标时自行用文件袋封装并加盖印章，未中标的投标人，其投标保证金中标结果公示后5日内退还（不计息）提供原件。</w:t>
      </w:r>
    </w:p>
    <w:p w14:paraId="2086ED8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投标单位需在递交投标文件截止时间前按照招标文件约定形式缴纳且投标保证金缴纳单位名称和投标单位名称一致，否则其投标文件做无效标书处理。</w:t>
      </w:r>
    </w:p>
    <w:p w14:paraId="55D6809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发生下列情况之一，经相关部门批准同意后，采购人有权取消其中标资格，并没收其投标保证金：</w:t>
      </w:r>
    </w:p>
    <w:p w14:paraId="151FCE2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（1）投标人在投标有效期间，投标人撤回或撤销投标。</w:t>
      </w:r>
    </w:p>
    <w:p w14:paraId="340A5D31">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（2）中标人未能在招标文件规定的期限内提交履约保证金。</w:t>
      </w:r>
    </w:p>
    <w:p w14:paraId="3993C88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（3）中标人无正当理由拒绝签订合同。</w:t>
      </w:r>
    </w:p>
    <w:p w14:paraId="0596703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（4）投标人在投标过程中弄虚作假，干扰正常招、投标秩序。</w:t>
      </w:r>
    </w:p>
    <w:p w14:paraId="2DA3E206">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宋体" w:hAnsi="宋体" w:cs="黑体"/>
          <w:b/>
          <w:bCs/>
          <w:sz w:val="28"/>
          <w:szCs w:val="28"/>
          <w:lang w:val="en-US" w:eastAsia="zh-CN"/>
        </w:rPr>
      </w:pPr>
      <w:r>
        <w:rPr>
          <w:rFonts w:hint="eastAsia" w:ascii="宋体" w:hAnsi="宋体" w:cs="黑体"/>
          <w:b/>
          <w:bCs/>
          <w:sz w:val="28"/>
          <w:szCs w:val="28"/>
          <w:lang w:val="en-US" w:eastAsia="zh-CN"/>
        </w:rPr>
        <w:t>四、获取招标文件须提供以下资料</w:t>
      </w:r>
    </w:p>
    <w:p w14:paraId="7A0FCAB6">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投标人应当在</w:t>
      </w:r>
      <w:r>
        <w:rPr>
          <w:rFonts w:hint="eastAsia" w:ascii="仿宋" w:hAnsi="仿宋" w:eastAsia="仿宋" w:cs="仿宋"/>
          <w:b/>
          <w:bCs/>
          <w:sz w:val="28"/>
          <w:szCs w:val="28"/>
          <w:u w:val="single"/>
          <w:lang w:val="en-US" w:eastAsia="zh-CN"/>
        </w:rPr>
        <w:t>2024年8月8日9：00起至 2024年8月14日17时30分止</w:t>
      </w:r>
      <w:r>
        <w:rPr>
          <w:rFonts w:hint="eastAsia" w:ascii="仿宋" w:hAnsi="仿宋" w:eastAsia="仿宋" w:cs="仿宋"/>
          <w:sz w:val="28"/>
          <w:szCs w:val="28"/>
          <w:lang w:val="en-US" w:eastAsia="zh-CN"/>
        </w:rPr>
        <w:t>，到江苏省盐城技师学院海洋路校区（盐城市盐都区海洋路29号匠心楼14楼1411办公室）获取招标文件，并提供以下资料：</w:t>
      </w:r>
    </w:p>
    <w:p w14:paraId="349F239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（1）企业法人营业执照原件（复印件盖公章）；</w:t>
      </w:r>
    </w:p>
    <w:p w14:paraId="6A2C2391">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（2）有效期内的食品经营许可证原件（复印件盖公章）；</w:t>
      </w:r>
    </w:p>
    <w:p w14:paraId="0810189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（3）招标文件领取人身份证原件（复印件盖公章）；</w:t>
      </w:r>
    </w:p>
    <w:p w14:paraId="0ABC554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（4）如委托购买请出示法定代表人授权书并加盖公章。</w:t>
      </w:r>
    </w:p>
    <w:p w14:paraId="502247E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招标（采购）资料费 500 元，</w:t>
      </w:r>
      <w:r>
        <w:rPr>
          <w:rFonts w:hint="eastAsia" w:ascii="仿宋" w:hAnsi="仿宋" w:eastAsia="仿宋" w:cs="仿宋"/>
          <w:sz w:val="28"/>
          <w:szCs w:val="28"/>
          <w:lang w:val="en-US" w:eastAsia="zh-CN"/>
        </w:rPr>
        <w:t>在购买招标文件时现场收取。投标人交纳的招标（采购）资料费，售后不退。</w:t>
      </w:r>
    </w:p>
    <w:p w14:paraId="22B2783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特别提醒：</w:t>
      </w:r>
    </w:p>
    <w:p w14:paraId="416D52A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采购人会根据招标需要，可能会不定期在“江苏省盐城技师学院网”发布该项目补充答疑等澄清修改文件，请各投标人自行网上查询，未能及时查阅响应而影响投标的，结果由投标人负责。投标人自行进行现场踏勘。</w:t>
      </w:r>
    </w:p>
    <w:p w14:paraId="4EB07854">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仿宋" w:hAnsi="仿宋" w:eastAsia="仿宋" w:cs="仿宋"/>
          <w:sz w:val="28"/>
          <w:szCs w:val="28"/>
          <w:lang w:val="en-US" w:eastAsia="zh-CN"/>
        </w:rPr>
      </w:pPr>
      <w:r>
        <w:rPr>
          <w:rFonts w:hint="eastAsia" w:ascii="宋体" w:hAnsi="宋体" w:cs="黑体"/>
          <w:b/>
          <w:bCs/>
          <w:sz w:val="28"/>
          <w:szCs w:val="28"/>
          <w:lang w:val="en-US" w:eastAsia="zh-CN"/>
        </w:rPr>
        <w:t>五、 投标截止时间：</w:t>
      </w:r>
      <w:r>
        <w:rPr>
          <w:rFonts w:hint="eastAsia" w:ascii="仿宋" w:hAnsi="仿宋" w:eastAsia="仿宋" w:cs="仿宋"/>
          <w:sz w:val="28"/>
          <w:szCs w:val="28"/>
          <w:lang w:val="en-US" w:eastAsia="zh-CN"/>
        </w:rPr>
        <w:t xml:space="preserve">2024年8月17日 </w:t>
      </w:r>
      <w:r>
        <w:rPr>
          <w:rFonts w:hint="eastAsia" w:ascii="仿宋" w:hAnsi="仿宋" w:eastAsia="仿宋" w:cs="仿宋"/>
          <w:sz w:val="28"/>
          <w:szCs w:val="28"/>
          <w:lang w:val="zh-CN" w:eastAsia="zh-CN"/>
        </w:rPr>
        <w:t>上午9：00</w:t>
      </w:r>
    </w:p>
    <w:p w14:paraId="56B75CC9">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仿宋" w:hAnsi="仿宋" w:eastAsia="仿宋" w:cs="仿宋"/>
          <w:sz w:val="28"/>
          <w:szCs w:val="28"/>
          <w:lang w:val="en-US" w:eastAsia="zh-CN"/>
        </w:rPr>
      </w:pPr>
      <w:r>
        <w:rPr>
          <w:rFonts w:hint="eastAsia" w:ascii="宋体" w:hAnsi="宋体" w:cs="黑体"/>
          <w:b/>
          <w:bCs/>
          <w:sz w:val="28"/>
          <w:szCs w:val="28"/>
          <w:lang w:val="en-US" w:eastAsia="zh-CN"/>
        </w:rPr>
        <w:t>六、 投标文件递交地点：</w:t>
      </w:r>
      <w:r>
        <w:rPr>
          <w:rFonts w:hint="eastAsia" w:ascii="仿宋" w:hAnsi="仿宋" w:eastAsia="仿宋" w:cs="仿宋"/>
          <w:sz w:val="28"/>
          <w:szCs w:val="28"/>
          <w:lang w:val="en-US" w:eastAsia="zh-CN"/>
        </w:rPr>
        <w:t>江苏省盐城技师学院文港路校区（盐城市文港中路128号研发楼15楼会议室）。</w:t>
      </w:r>
    </w:p>
    <w:p w14:paraId="4BF070AC">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仿宋" w:hAnsi="仿宋" w:eastAsia="仿宋" w:cs="仿宋"/>
          <w:sz w:val="28"/>
          <w:szCs w:val="28"/>
          <w:lang w:val="en-US" w:eastAsia="zh-CN"/>
        </w:rPr>
      </w:pPr>
      <w:r>
        <w:rPr>
          <w:rFonts w:hint="eastAsia" w:ascii="宋体" w:hAnsi="宋体" w:cs="黑体"/>
          <w:b/>
          <w:bCs/>
          <w:sz w:val="28"/>
          <w:szCs w:val="28"/>
          <w:lang w:val="en-US" w:eastAsia="zh-CN"/>
        </w:rPr>
        <w:t>七、 开标时间：</w:t>
      </w:r>
      <w:r>
        <w:rPr>
          <w:rFonts w:hint="eastAsia" w:ascii="仿宋" w:hAnsi="仿宋" w:eastAsia="仿宋" w:cs="仿宋"/>
          <w:sz w:val="28"/>
          <w:szCs w:val="28"/>
          <w:lang w:val="en-US" w:eastAsia="zh-CN"/>
        </w:rPr>
        <w:t xml:space="preserve">2024年8月17日 </w:t>
      </w:r>
      <w:r>
        <w:rPr>
          <w:rFonts w:hint="eastAsia" w:ascii="仿宋" w:hAnsi="仿宋" w:eastAsia="仿宋" w:cs="仿宋"/>
          <w:sz w:val="28"/>
          <w:szCs w:val="28"/>
          <w:lang w:val="zh-CN" w:eastAsia="zh-CN"/>
        </w:rPr>
        <w:t>上午9：30</w:t>
      </w:r>
    </w:p>
    <w:p w14:paraId="23EB3194">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仿宋" w:hAnsi="仿宋" w:eastAsia="仿宋" w:cs="仿宋"/>
          <w:sz w:val="28"/>
          <w:szCs w:val="28"/>
          <w:lang w:val="en-US" w:eastAsia="zh-CN"/>
        </w:rPr>
      </w:pPr>
      <w:r>
        <w:rPr>
          <w:rFonts w:hint="eastAsia" w:ascii="宋体" w:hAnsi="宋体" w:cs="黑体"/>
          <w:b/>
          <w:bCs/>
          <w:sz w:val="28"/>
          <w:szCs w:val="28"/>
          <w:lang w:val="en-US" w:eastAsia="zh-CN"/>
        </w:rPr>
        <w:t>八、 开标地点：</w:t>
      </w:r>
      <w:r>
        <w:rPr>
          <w:rFonts w:hint="eastAsia" w:ascii="仿宋" w:hAnsi="仿宋" w:eastAsia="仿宋" w:cs="仿宋"/>
          <w:sz w:val="28"/>
          <w:szCs w:val="28"/>
          <w:lang w:val="en-US" w:eastAsia="zh-CN"/>
        </w:rPr>
        <w:t>江苏省盐城技师学院文港路校区（盐城市文港中路128号研发楼15楼会议室）。</w:t>
      </w:r>
    </w:p>
    <w:p w14:paraId="62D77417">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宋体" w:hAnsi="宋体" w:cs="黑体"/>
          <w:b/>
          <w:bCs/>
          <w:sz w:val="28"/>
          <w:szCs w:val="28"/>
          <w:lang w:val="en-US" w:eastAsia="zh-CN"/>
        </w:rPr>
      </w:pPr>
      <w:r>
        <w:rPr>
          <w:rFonts w:hint="eastAsia" w:ascii="宋体" w:hAnsi="宋体" w:cs="黑体"/>
          <w:b/>
          <w:bCs/>
          <w:sz w:val="28"/>
          <w:szCs w:val="28"/>
          <w:lang w:val="en-US" w:eastAsia="zh-CN"/>
        </w:rPr>
        <w:t>为了提高招标采购效率，节约社会交易成本及时间，希望获取了招标文件，而又决定不参加本次招标的投标人，请在投标截止时间前2天书面或电话告知我们（联系人：邵老师，办公电话：0515—68661002/13905109103），对于无故临时放弃投标的投标人，我校将根据情况将投标单位纳入招投标黑名单。对您的支持与配合，谨此致谢。</w:t>
      </w:r>
    </w:p>
    <w:p w14:paraId="10B13B7C">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仿宋" w:hAnsi="仿宋" w:eastAsia="仿宋" w:cs="仿宋"/>
          <w:sz w:val="28"/>
          <w:szCs w:val="28"/>
          <w:lang w:val="en-US" w:eastAsia="zh-CN"/>
        </w:rPr>
      </w:pPr>
      <w:r>
        <w:rPr>
          <w:rFonts w:hint="eastAsia" w:ascii="宋体" w:hAnsi="宋体" w:cs="黑体"/>
          <w:b/>
          <w:bCs/>
          <w:color w:val="000000"/>
          <w:sz w:val="28"/>
          <w:szCs w:val="28"/>
        </w:rPr>
        <w:t>九、</w:t>
      </w:r>
      <w:r>
        <w:rPr>
          <w:rFonts w:hint="eastAsia" w:ascii="宋体" w:hAnsi="宋体" w:cs="宋体"/>
          <w:b/>
          <w:bCs/>
          <w:kern w:val="15"/>
          <w:position w:val="2"/>
          <w:sz w:val="28"/>
          <w:szCs w:val="28"/>
        </w:rPr>
        <w:t>其他</w:t>
      </w:r>
    </w:p>
    <w:p w14:paraId="78CB0E1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为确保校园安全，投标人进入江苏省盐城技师学院文港路校区时应服从下列规定：</w:t>
      </w:r>
    </w:p>
    <w:p w14:paraId="12A2533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（1）投标人从学校西大门进出；投标人车辆一律不得进入校园。</w:t>
      </w:r>
    </w:p>
    <w:p w14:paraId="7AAA156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（2）授权代表限1人进入校园，进入校园前须在西大门外相关工作人员处进行信息实名登记。请投标人注意投标截止时间。</w:t>
      </w:r>
    </w:p>
    <w:p w14:paraId="5BAC828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（3）投标人进入校园后应在指定地点参与投标活动，不到非相关场所活动；投标工作结束后应立即离开校园，不逗留。</w:t>
      </w:r>
    </w:p>
    <w:p w14:paraId="039065B2">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宋体" w:hAnsi="宋体" w:cs="黑体"/>
          <w:b/>
          <w:bCs/>
          <w:sz w:val="28"/>
          <w:szCs w:val="28"/>
          <w:lang w:val="en-US" w:eastAsia="zh-CN"/>
        </w:rPr>
      </w:pPr>
      <w:r>
        <w:rPr>
          <w:rFonts w:hint="eastAsia" w:ascii="宋体" w:hAnsi="宋体" w:cs="黑体"/>
          <w:b/>
          <w:bCs/>
          <w:sz w:val="28"/>
          <w:szCs w:val="28"/>
          <w:lang w:val="en-US" w:eastAsia="zh-CN"/>
        </w:rPr>
        <w:t>十、采购人联系方式</w:t>
      </w:r>
    </w:p>
    <w:p w14:paraId="015C1FAB">
      <w:pPr>
        <w:pStyle w:val="2"/>
        <w:rPr>
          <w:rFonts w:hint="eastAsia" w:ascii="宋体" w:hAnsi="宋体" w:cs="黑体"/>
          <w:b/>
          <w:bCs/>
          <w:sz w:val="28"/>
          <w:szCs w:val="28"/>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9"/>
        <w:gridCol w:w="6503"/>
      </w:tblGrid>
      <w:tr w14:paraId="17621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noWrap w:val="0"/>
            <w:vAlign w:val="center"/>
          </w:tcPr>
          <w:p w14:paraId="4E4F3E7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联系人</w:t>
            </w:r>
          </w:p>
        </w:tc>
        <w:tc>
          <w:tcPr>
            <w:tcW w:w="6503" w:type="dxa"/>
            <w:noWrap w:val="0"/>
            <w:vAlign w:val="center"/>
          </w:tcPr>
          <w:p w14:paraId="63EFA3A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王老师/邵老师</w:t>
            </w:r>
          </w:p>
        </w:tc>
      </w:tr>
      <w:tr w14:paraId="2730D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noWrap w:val="0"/>
            <w:vAlign w:val="center"/>
          </w:tcPr>
          <w:p w14:paraId="5663222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电话</w:t>
            </w:r>
          </w:p>
        </w:tc>
        <w:tc>
          <w:tcPr>
            <w:tcW w:w="6503" w:type="dxa"/>
            <w:noWrap w:val="0"/>
            <w:vAlign w:val="center"/>
          </w:tcPr>
          <w:p w14:paraId="13C6A1BB">
            <w:pPr>
              <w:jc w:val="center"/>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rPr>
              <w:t>0515-68661002，</w:t>
            </w:r>
            <w:r>
              <w:rPr>
                <w:rFonts w:hint="eastAsia" w:ascii="仿宋" w:hAnsi="仿宋" w:eastAsia="仿宋" w:cs="仿宋"/>
                <w:color w:val="000000"/>
                <w:sz w:val="28"/>
                <w:szCs w:val="28"/>
                <w:u w:val="none"/>
                <w:lang w:val="en-US" w:eastAsia="zh-CN"/>
              </w:rPr>
              <w:t>13905109103</w:t>
            </w:r>
          </w:p>
        </w:tc>
      </w:tr>
      <w:tr w14:paraId="25804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9" w:type="dxa"/>
            <w:noWrap w:val="0"/>
            <w:vAlign w:val="center"/>
          </w:tcPr>
          <w:p w14:paraId="0398B9E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联系地址</w:t>
            </w:r>
          </w:p>
        </w:tc>
        <w:tc>
          <w:tcPr>
            <w:tcW w:w="6503" w:type="dxa"/>
            <w:noWrap w:val="0"/>
            <w:vAlign w:val="center"/>
          </w:tcPr>
          <w:p w14:paraId="1EE2FC49">
            <w:pPr>
              <w:jc w:val="center"/>
              <w:rPr>
                <w:rFonts w:hint="eastAsia" w:ascii="宋体" w:hAnsi="宋体" w:cs="黑体"/>
                <w:b/>
                <w:bCs/>
                <w:sz w:val="28"/>
                <w:szCs w:val="28"/>
                <w:vertAlign w:val="baseline"/>
                <w:lang w:val="en-US" w:eastAsia="zh-CN"/>
              </w:rPr>
            </w:pPr>
            <w:r>
              <w:rPr>
                <w:rFonts w:hint="eastAsia" w:ascii="仿宋" w:hAnsi="仿宋" w:eastAsia="仿宋" w:cs="仿宋"/>
                <w:sz w:val="28"/>
                <w:szCs w:val="28"/>
                <w:lang w:val="en-US" w:eastAsia="zh-CN"/>
              </w:rPr>
              <w:t>盐城市盐都区海洋路29号匠心楼14楼1412办公室</w:t>
            </w:r>
          </w:p>
        </w:tc>
      </w:tr>
    </w:tbl>
    <w:p w14:paraId="3D386F65">
      <w:pPr>
        <w:rPr>
          <w:rFonts w:hint="eastAsia" w:ascii="宋体" w:hAnsi="宋体" w:cs="黑体"/>
          <w:b/>
          <w:bCs/>
          <w:sz w:val="28"/>
          <w:szCs w:val="28"/>
          <w:lang w:val="en-US" w:eastAsia="zh-CN"/>
        </w:rPr>
      </w:pPr>
    </w:p>
    <w:p w14:paraId="1FBC5A1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4F2152A6"/>
    <w:rsid w:val="0C54536A"/>
    <w:rsid w:val="29215311"/>
    <w:rsid w:val="297178A3"/>
    <w:rsid w:val="2C687786"/>
    <w:rsid w:val="402C6F40"/>
    <w:rsid w:val="47893ACF"/>
    <w:rsid w:val="4F2152A6"/>
    <w:rsid w:val="50893782"/>
    <w:rsid w:val="50E41479"/>
    <w:rsid w:val="6E9F56E1"/>
    <w:rsid w:val="72FC1FAF"/>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4">
    <w:name w:val="Body Text Indent"/>
    <w:basedOn w:val="1"/>
    <w:qFormat/>
    <w:uiPriority w:val="0"/>
    <w:pPr>
      <w:ind w:left="-105" w:firstLine="232" w:firstLineChars="232"/>
    </w:pPr>
    <w:rPr>
      <w:rFonts w:eastAsia="仿宋_GB2312"/>
      <w:sz w:val="3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2024-08-08T05:11:00Z</dcterms:created>
  <dc:creator>小壮</dc:creator>
  <cp:lastModifiedBy>小壮</cp:lastModifiedBy>
  <dcterms:modified xsi:type="dcterms:W3CDTF">2024-08-08T05:12:11Z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F9716D7C77994F6AA723FBFBBED67ED3_11</vt:lpwstr>
  </property>
</Properties>
</file>