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720" w:lineRule="exact"/>
        <w:ind w:left="0" w:right="0"/>
        <w:jc w:val="center"/>
        <w:textAlignment w:val="auto"/>
        <w:rPr>
          <w:rFonts w:hint="eastAsia" w:eastAsia="宋体"/>
          <w:sz w:val="36"/>
          <w:szCs w:val="36"/>
          <w:lang w:eastAsia="zh-CN"/>
        </w:rPr>
      </w:pPr>
      <w:r>
        <w:rPr>
          <w:rFonts w:hint="eastAsia" w:ascii="宋体" w:hAnsi="宋体" w:eastAsia="宋体" w:cs="宋体"/>
          <w:b/>
          <w:bCs/>
          <w:color w:val="000000"/>
          <w:sz w:val="36"/>
          <w:szCs w:val="36"/>
          <w:lang w:eastAsia="zh-CN"/>
        </w:rPr>
        <w:t>公开遴选新一轮食堂、超市租赁费第三方评估公司</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720" w:lineRule="exact"/>
        <w:jc w:val="center"/>
        <w:textAlignment w:val="auto"/>
      </w:pPr>
      <w:r>
        <w:rPr>
          <w:rFonts w:hint="eastAsia" w:ascii="宋体" w:hAnsi="宋体" w:eastAsia="宋体" w:cs="宋体"/>
          <w:b/>
          <w:bCs/>
          <w:color w:val="000000"/>
          <w:sz w:val="36"/>
          <w:szCs w:val="36"/>
        </w:rPr>
        <w:t>询价公告</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right="0" w:firstLine="560" w:firstLineChars="200"/>
        <w:jc w:val="left"/>
        <w:textAlignment w:val="auto"/>
        <w:rPr>
          <w:rFonts w:ascii="仿宋_GB2312" w:eastAsia="仿宋_GB2312" w:cs="仿宋_GB2312"/>
          <w:color w:val="000000"/>
          <w:sz w:val="28"/>
          <w:szCs w:val="28"/>
        </w:rPr>
      </w:pPr>
      <w:r>
        <w:rPr>
          <w:rFonts w:ascii="仿宋_GB2312" w:eastAsia="仿宋_GB2312" w:cs="仿宋_GB2312"/>
          <w:color w:val="000000"/>
          <w:sz w:val="28"/>
          <w:szCs w:val="28"/>
        </w:rPr>
        <w:t>根据《中华人民共和国政府采购法》等法律、法规的规定，现就</w:t>
      </w:r>
      <w:r>
        <w:rPr>
          <w:rFonts w:hint="eastAsia" w:ascii="仿宋_GB2312" w:eastAsia="仿宋_GB2312" w:cs="仿宋_GB2312"/>
          <w:color w:val="000000"/>
          <w:sz w:val="28"/>
          <w:szCs w:val="28"/>
          <w:lang w:eastAsia="zh-CN"/>
        </w:rPr>
        <w:t>公开遴选新一轮食堂、超市租赁费第三方评估公司</w:t>
      </w:r>
      <w:r>
        <w:rPr>
          <w:rFonts w:hint="default" w:ascii="仿宋_GB2312" w:eastAsia="仿宋_GB2312" w:cs="仿宋_GB2312"/>
          <w:color w:val="000000"/>
          <w:sz w:val="28"/>
          <w:szCs w:val="28"/>
        </w:rPr>
        <w:t>项目进行询价采购。</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pPr>
      <w:r>
        <w:rPr>
          <w:rFonts w:ascii="黑体" w:hAnsi="宋体" w:eastAsia="黑体" w:cs="黑体"/>
          <w:b/>
          <w:bCs/>
          <w:color w:val="000000"/>
          <w:sz w:val="28"/>
          <w:szCs w:val="28"/>
        </w:rPr>
        <w:t>一、采购项目</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rPr>
          <w:rFonts w:hint="eastAsia" w:eastAsia="仿宋_GB2312"/>
          <w:lang w:eastAsia="zh-CN"/>
        </w:rPr>
      </w:pPr>
      <w:r>
        <w:rPr>
          <w:rFonts w:hint="eastAsia" w:ascii="仿宋_GB2312" w:eastAsia="仿宋_GB2312" w:cs="仿宋_GB2312"/>
          <w:color w:val="000000"/>
          <w:sz w:val="28"/>
          <w:szCs w:val="28"/>
          <w:lang w:val="en-US" w:eastAsia="zh-CN"/>
        </w:rPr>
        <w:t>1.</w:t>
      </w:r>
      <w:r>
        <w:rPr>
          <w:rFonts w:hint="default" w:ascii="仿宋_GB2312" w:eastAsia="仿宋_GB2312" w:cs="仿宋_GB2312"/>
          <w:color w:val="000000"/>
          <w:sz w:val="28"/>
          <w:szCs w:val="28"/>
        </w:rPr>
        <w:t>项目概况：对江苏省盐城技师学院</w:t>
      </w:r>
      <w:r>
        <w:rPr>
          <w:rFonts w:hint="eastAsia" w:ascii="仿宋_GB2312" w:eastAsia="仿宋_GB2312" w:cs="仿宋_GB2312"/>
          <w:color w:val="000000"/>
          <w:sz w:val="28"/>
          <w:szCs w:val="28"/>
          <w:lang w:val="en-US" w:eastAsia="zh-CN"/>
        </w:rPr>
        <w:t>2024年秋学期</w:t>
      </w:r>
      <w:r>
        <w:rPr>
          <w:rFonts w:hint="eastAsia" w:ascii="仿宋_GB2312" w:eastAsia="仿宋_GB2312" w:cs="仿宋_GB2312"/>
          <w:color w:val="000000"/>
          <w:sz w:val="28"/>
          <w:szCs w:val="28"/>
          <w:lang w:eastAsia="zh-CN"/>
        </w:rPr>
        <w:t>食堂、超市对外委托经营的租赁费进行第三方评估，共涉及</w:t>
      </w:r>
      <w:r>
        <w:rPr>
          <w:rFonts w:hint="eastAsia" w:ascii="仿宋_GB2312" w:eastAsia="仿宋_GB2312" w:cs="仿宋_GB2312"/>
          <w:color w:val="000000"/>
          <w:sz w:val="28"/>
          <w:szCs w:val="28"/>
          <w:lang w:val="en-US" w:eastAsia="zh-CN"/>
        </w:rPr>
        <w:t>5个食堂、4个超市，</w:t>
      </w:r>
      <w:r>
        <w:rPr>
          <w:rFonts w:hint="eastAsia" w:ascii="仿宋_GB2312" w:eastAsia="仿宋_GB2312" w:cs="仿宋_GB2312"/>
          <w:color w:val="000000"/>
          <w:sz w:val="28"/>
          <w:szCs w:val="28"/>
          <w:lang w:eastAsia="zh-CN"/>
        </w:rPr>
        <w:t>需出具资产评估报告。</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2.项目名称：</w:t>
      </w:r>
      <w:r>
        <w:rPr>
          <w:rFonts w:hint="eastAsia" w:ascii="仿宋_GB2312" w:eastAsia="仿宋_GB2312" w:cs="仿宋_GB2312"/>
          <w:color w:val="000000"/>
          <w:sz w:val="28"/>
          <w:szCs w:val="28"/>
          <w:lang w:eastAsia="zh-CN"/>
        </w:rPr>
        <w:t>公开遴选新一轮食堂、超市租赁费第三方评估公司项目</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3.项目编号：XJ2024050</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4.项目预算：3.6万元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lang w:eastAsia="zh-CN"/>
        </w:rPr>
        <w:t>具体项目参数：</w:t>
      </w:r>
    </w:p>
    <w:p>
      <w:pPr>
        <w:jc w:val="center"/>
        <w:rPr>
          <w:rFonts w:hint="eastAsia" w:ascii="黑体" w:hAnsi="黑体" w:eastAsia="黑体"/>
          <w:sz w:val="32"/>
          <w:szCs w:val="32"/>
        </w:rPr>
      </w:pPr>
      <w:r>
        <w:rPr>
          <w:rFonts w:hint="eastAsia" w:ascii="黑体" w:hAnsi="宋体" w:eastAsia="黑体" w:cs="黑体"/>
          <w:b/>
          <w:bCs/>
          <w:color w:val="000000"/>
          <w:sz w:val="28"/>
          <w:szCs w:val="28"/>
          <w:lang w:val="en-US" w:eastAsia="zh-CN"/>
        </w:rPr>
        <w:t xml:space="preserve"> </w:t>
      </w:r>
      <w:r>
        <w:rPr>
          <w:rFonts w:ascii="黑体" w:hAnsi="黑体" w:eastAsia="黑体"/>
          <w:sz w:val="32"/>
          <w:szCs w:val="32"/>
        </w:rPr>
        <w:t>公开遴选新一轮食堂、超市租赁费第三方评估的参数</w:t>
      </w:r>
    </w:p>
    <w:p>
      <w:pPr>
        <w:rPr>
          <w:rFonts w:hint="eastAsia" w:ascii="宋体" w:hAnsi="宋体" w:eastAsia="宋体" w:cs="Times New Roman"/>
          <w:b/>
          <w:bCs/>
          <w:sz w:val="28"/>
          <w:szCs w:val="28"/>
        </w:rPr>
      </w:pPr>
      <w:r>
        <w:rPr>
          <w:rFonts w:hint="eastAsia" w:ascii="宋体" w:hAnsi="宋体" w:eastAsia="宋体" w:cs="Times New Roman"/>
          <w:b/>
          <w:bCs/>
          <w:sz w:val="28"/>
          <w:szCs w:val="28"/>
        </w:rPr>
        <w:t>1.基本情况</w:t>
      </w:r>
    </w:p>
    <w:p>
      <w:pPr>
        <w:rPr>
          <w:rFonts w:hint="eastAsia" w:ascii="宋体" w:hAnsi="宋体" w:eastAsia="宋体" w:cs="Times New Roman"/>
          <w:sz w:val="28"/>
          <w:szCs w:val="28"/>
        </w:rPr>
      </w:pPr>
      <w:r>
        <w:rPr>
          <w:rFonts w:hint="eastAsia" w:ascii="宋体" w:hAnsi="宋体" w:eastAsia="宋体" w:cs="Times New Roman"/>
          <w:sz w:val="28"/>
          <w:szCs w:val="28"/>
        </w:rPr>
        <w:t>（1）学生食堂</w:t>
      </w:r>
    </w:p>
    <w:tbl>
      <w:tblPr>
        <w:tblStyle w:val="5"/>
        <w:tblW w:w="95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59"/>
        <w:gridCol w:w="1995"/>
        <w:gridCol w:w="3402"/>
        <w:gridCol w:w="1350"/>
        <w:gridCol w:w="13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4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Times New Roman"/>
                <w:sz w:val="28"/>
                <w:szCs w:val="28"/>
              </w:rPr>
            </w:pPr>
            <w:r>
              <w:rPr>
                <w:rFonts w:hint="eastAsia" w:ascii="仿宋" w:hAnsi="仿宋" w:eastAsia="仿宋" w:cs="Times New Roman"/>
                <w:sz w:val="28"/>
                <w:szCs w:val="28"/>
              </w:rPr>
              <w:t>所在校区</w:t>
            </w:r>
          </w:p>
        </w:tc>
        <w:tc>
          <w:tcPr>
            <w:tcW w:w="1995" w:type="dxa"/>
            <w:tcBorders>
              <w:top w:val="single" w:color="000000" w:sz="4" w:space="0"/>
              <w:left w:val="nil"/>
              <w:bottom w:val="single" w:color="000000" w:sz="4" w:space="0"/>
              <w:right w:val="single" w:color="000000" w:sz="4" w:space="0"/>
            </w:tcBorders>
          </w:tcPr>
          <w:p>
            <w:pPr>
              <w:spacing w:line="500" w:lineRule="exact"/>
              <w:ind w:right="259"/>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食堂名称</w:t>
            </w:r>
          </w:p>
        </w:tc>
        <w:tc>
          <w:tcPr>
            <w:tcW w:w="3402" w:type="dxa"/>
            <w:tcBorders>
              <w:top w:val="single" w:color="000000" w:sz="4" w:space="0"/>
              <w:left w:val="nil"/>
              <w:bottom w:val="single" w:color="000000" w:sz="4" w:space="0"/>
              <w:right w:val="single" w:color="000000" w:sz="4" w:space="0"/>
            </w:tcBorders>
            <w:vAlign w:val="center"/>
          </w:tcPr>
          <w:p>
            <w:pPr>
              <w:spacing w:line="500" w:lineRule="exact"/>
              <w:ind w:right="259"/>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所处位置</w:t>
            </w:r>
          </w:p>
        </w:tc>
        <w:tc>
          <w:tcPr>
            <w:tcW w:w="1350" w:type="dxa"/>
            <w:tcBorders>
              <w:top w:val="single" w:color="000000" w:sz="4" w:space="0"/>
              <w:left w:val="nil"/>
              <w:bottom w:val="single" w:color="000000" w:sz="4" w:space="0"/>
              <w:right w:val="single" w:color="000000" w:sz="4" w:space="0"/>
            </w:tcBorders>
            <w:vAlign w:val="center"/>
          </w:tcPr>
          <w:p>
            <w:pPr>
              <w:spacing w:line="500" w:lineRule="exact"/>
              <w:ind w:right="198"/>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食堂面积</w:t>
            </w:r>
          </w:p>
        </w:tc>
        <w:tc>
          <w:tcPr>
            <w:tcW w:w="1350" w:type="dxa"/>
            <w:tcBorders>
              <w:top w:val="single" w:color="000000" w:sz="4" w:space="0"/>
              <w:left w:val="nil"/>
              <w:bottom w:val="single" w:color="000000" w:sz="4" w:space="0"/>
              <w:right w:val="single" w:color="000000" w:sz="4" w:space="0"/>
            </w:tcBorders>
            <w:vAlign w:val="center"/>
          </w:tcPr>
          <w:p>
            <w:pPr>
              <w:spacing w:line="500" w:lineRule="exact"/>
              <w:ind w:right="198"/>
              <w:jc w:val="center"/>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在校人数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59" w:type="dxa"/>
            <w:vMerge w:val="restart"/>
            <w:tcBorders>
              <w:top w:val="nil"/>
              <w:left w:val="single" w:color="000000" w:sz="4" w:space="0"/>
              <w:bottom w:val="single" w:color="000000" w:sz="4" w:space="0"/>
              <w:right w:val="single" w:color="000000" w:sz="4" w:space="0"/>
            </w:tcBorders>
            <w:vAlign w:val="center"/>
          </w:tcPr>
          <w:p>
            <w:pPr>
              <w:rPr>
                <w:rFonts w:ascii="仿宋" w:hAnsi="仿宋" w:eastAsia="仿宋" w:cs="Times New Roman"/>
                <w:color w:val="000000"/>
                <w:sz w:val="24"/>
                <w:szCs w:val="24"/>
              </w:rPr>
            </w:pPr>
            <w:r>
              <w:rPr>
                <w:rFonts w:hint="eastAsia" w:ascii="仿宋" w:hAnsi="仿宋" w:eastAsia="仿宋" w:cs="Times New Roman"/>
                <w:sz w:val="24"/>
                <w:szCs w:val="24"/>
              </w:rPr>
              <w:t>文港路校区</w:t>
            </w:r>
          </w:p>
        </w:tc>
        <w:tc>
          <w:tcPr>
            <w:tcW w:w="1995"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文港路一食堂</w:t>
            </w:r>
          </w:p>
        </w:tc>
        <w:tc>
          <w:tcPr>
            <w:tcW w:w="3402" w:type="dxa"/>
            <w:tcBorders>
              <w:top w:val="single" w:color="000000" w:sz="4" w:space="0"/>
              <w:left w:val="nil"/>
              <w:bottom w:val="single" w:color="000000" w:sz="4" w:space="0"/>
              <w:right w:val="single" w:color="000000" w:sz="4" w:space="0"/>
            </w:tcBorders>
            <w:vAlign w:val="center"/>
          </w:tcPr>
          <w:p>
            <w:pPr>
              <w:rPr>
                <w:rFonts w:ascii="仿宋" w:hAnsi="仿宋" w:eastAsia="仿宋" w:cs="Calibri"/>
                <w:sz w:val="24"/>
                <w:szCs w:val="24"/>
              </w:rPr>
            </w:pPr>
            <w:r>
              <w:rPr>
                <w:rFonts w:hint="eastAsia" w:ascii="仿宋" w:hAnsi="仿宋" w:eastAsia="仿宋" w:cs="Times New Roman"/>
                <w:sz w:val="24"/>
                <w:szCs w:val="24"/>
              </w:rPr>
              <w:t>后勤服务楼二楼及六楼教工餐厅</w:t>
            </w:r>
          </w:p>
        </w:tc>
        <w:tc>
          <w:tcPr>
            <w:tcW w:w="1350"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Calibri"/>
                <w:sz w:val="24"/>
                <w:szCs w:val="24"/>
              </w:rPr>
            </w:pPr>
            <w:r>
              <w:rPr>
                <w:rFonts w:hint="eastAsia" w:ascii="仿宋" w:hAnsi="仿宋" w:eastAsia="仿宋" w:cs="Times New Roman"/>
                <w:sz w:val="24"/>
                <w:szCs w:val="24"/>
              </w:rPr>
              <w:t>2020㎡</w:t>
            </w:r>
          </w:p>
        </w:tc>
        <w:tc>
          <w:tcPr>
            <w:tcW w:w="1350" w:type="dxa"/>
            <w:vMerge w:val="restart"/>
            <w:tcBorders>
              <w:top w:val="single" w:color="000000" w:sz="4" w:space="0"/>
              <w:left w:val="nil"/>
              <w:right w:val="single" w:color="000000" w:sz="4" w:space="0"/>
            </w:tcBorders>
            <w:vAlign w:val="center"/>
          </w:tcPr>
          <w:p>
            <w:pPr>
              <w:jc w:val="center"/>
              <w:rPr>
                <w:rFonts w:hint="eastAsia" w:ascii="仿宋" w:hAnsi="仿宋" w:eastAsia="仿宋" w:cs="Times New Roman"/>
                <w:sz w:val="24"/>
                <w:szCs w:val="24"/>
              </w:rPr>
            </w:pPr>
            <w:r>
              <w:rPr>
                <w:rFonts w:hint="eastAsia" w:ascii="仿宋" w:hAnsi="仿宋" w:eastAsia="仿宋" w:cs="Times New Roman"/>
                <w:sz w:val="24"/>
                <w:szCs w:val="24"/>
              </w:rPr>
              <w:t>2023年秋学期在校5899人，其中走读生1535人。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5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Times New Roman"/>
                <w:color w:val="000000"/>
                <w:sz w:val="24"/>
                <w:szCs w:val="24"/>
              </w:rPr>
            </w:pPr>
          </w:p>
        </w:tc>
        <w:tc>
          <w:tcPr>
            <w:tcW w:w="1995"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文港路二食堂</w:t>
            </w:r>
          </w:p>
        </w:tc>
        <w:tc>
          <w:tcPr>
            <w:tcW w:w="3402" w:type="dxa"/>
            <w:tcBorders>
              <w:top w:val="single" w:color="000000" w:sz="4" w:space="0"/>
              <w:left w:val="nil"/>
              <w:bottom w:val="single" w:color="000000" w:sz="4" w:space="0"/>
              <w:right w:val="single" w:color="000000" w:sz="4" w:space="0"/>
            </w:tcBorders>
            <w:vAlign w:val="center"/>
          </w:tcPr>
          <w:p>
            <w:pPr>
              <w:rPr>
                <w:rFonts w:ascii="仿宋" w:hAnsi="仿宋" w:eastAsia="仿宋" w:cs="Calibri"/>
                <w:sz w:val="24"/>
                <w:szCs w:val="24"/>
              </w:rPr>
            </w:pPr>
            <w:r>
              <w:rPr>
                <w:rFonts w:hint="eastAsia" w:ascii="仿宋" w:hAnsi="仿宋" w:eastAsia="仿宋" w:cs="Times New Roman"/>
                <w:sz w:val="24"/>
                <w:szCs w:val="24"/>
              </w:rPr>
              <w:t>后勤服务楼三楼</w:t>
            </w:r>
          </w:p>
        </w:tc>
        <w:tc>
          <w:tcPr>
            <w:tcW w:w="1350"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Calibri"/>
                <w:sz w:val="24"/>
                <w:szCs w:val="24"/>
              </w:rPr>
            </w:pPr>
            <w:r>
              <w:rPr>
                <w:rFonts w:hint="eastAsia" w:ascii="仿宋" w:hAnsi="仿宋" w:eastAsia="仿宋" w:cs="Times New Roman"/>
                <w:sz w:val="24"/>
                <w:szCs w:val="24"/>
              </w:rPr>
              <w:t>2020㎡</w:t>
            </w:r>
          </w:p>
        </w:tc>
        <w:tc>
          <w:tcPr>
            <w:tcW w:w="1350" w:type="dxa"/>
            <w:vMerge w:val="continue"/>
            <w:tcBorders>
              <w:left w:val="nil"/>
              <w:right w:val="single" w:color="000000" w:sz="4" w:space="0"/>
            </w:tcBorders>
            <w:vAlign w:val="center"/>
          </w:tcPr>
          <w:p>
            <w:pPr>
              <w:jc w:val="center"/>
              <w:rPr>
                <w:rFonts w:hint="eastAsia" w:ascii="仿宋" w:hAnsi="仿宋" w:eastAsia="仿宋"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5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Times New Roman"/>
                <w:color w:val="000000"/>
                <w:sz w:val="24"/>
                <w:szCs w:val="24"/>
              </w:rPr>
            </w:pPr>
          </w:p>
        </w:tc>
        <w:tc>
          <w:tcPr>
            <w:tcW w:w="1995"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文港路三食堂</w:t>
            </w:r>
          </w:p>
        </w:tc>
        <w:tc>
          <w:tcPr>
            <w:tcW w:w="3402" w:type="dxa"/>
            <w:tcBorders>
              <w:top w:val="single" w:color="000000" w:sz="4" w:space="0"/>
              <w:left w:val="nil"/>
              <w:bottom w:val="single" w:color="000000" w:sz="4" w:space="0"/>
              <w:right w:val="single" w:color="000000" w:sz="4" w:space="0"/>
            </w:tcBorders>
            <w:vAlign w:val="center"/>
          </w:tcPr>
          <w:p>
            <w:pPr>
              <w:rPr>
                <w:rFonts w:ascii="仿宋" w:hAnsi="仿宋" w:eastAsia="仿宋" w:cs="Calibri"/>
                <w:sz w:val="24"/>
                <w:szCs w:val="24"/>
              </w:rPr>
            </w:pPr>
            <w:r>
              <w:rPr>
                <w:rFonts w:hint="eastAsia" w:ascii="仿宋" w:hAnsi="仿宋" w:eastAsia="仿宋" w:cs="Times New Roman"/>
                <w:sz w:val="24"/>
                <w:szCs w:val="24"/>
              </w:rPr>
              <w:t>10号宿舍楼一楼</w:t>
            </w:r>
          </w:p>
        </w:tc>
        <w:tc>
          <w:tcPr>
            <w:tcW w:w="1350"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Calibri"/>
                <w:sz w:val="24"/>
                <w:szCs w:val="24"/>
              </w:rPr>
            </w:pPr>
            <w:r>
              <w:rPr>
                <w:rFonts w:hint="eastAsia" w:ascii="仿宋" w:hAnsi="仿宋" w:eastAsia="仿宋" w:cs="Times New Roman"/>
                <w:sz w:val="24"/>
                <w:szCs w:val="24"/>
              </w:rPr>
              <w:t>1650㎡</w:t>
            </w:r>
          </w:p>
        </w:tc>
        <w:tc>
          <w:tcPr>
            <w:tcW w:w="1350" w:type="dxa"/>
            <w:vMerge w:val="continue"/>
            <w:tcBorders>
              <w:left w:val="nil"/>
              <w:bottom w:val="single" w:color="000000" w:sz="4" w:space="0"/>
              <w:right w:val="single" w:color="000000" w:sz="4" w:space="0"/>
            </w:tcBorders>
            <w:vAlign w:val="center"/>
          </w:tcPr>
          <w:p>
            <w:pPr>
              <w:jc w:val="center"/>
              <w:rPr>
                <w:rFonts w:hint="eastAsia" w:ascii="仿宋" w:hAnsi="仿宋" w:eastAsia="仿宋"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59" w:type="dxa"/>
            <w:vMerge w:val="restart"/>
            <w:tcBorders>
              <w:top w:val="nil"/>
              <w:left w:val="single" w:color="000000" w:sz="4" w:space="0"/>
              <w:bottom w:val="single" w:color="000000" w:sz="4" w:space="0"/>
              <w:right w:val="single" w:color="000000" w:sz="4" w:space="0"/>
            </w:tcBorders>
            <w:vAlign w:val="center"/>
          </w:tcPr>
          <w:p>
            <w:pPr>
              <w:rPr>
                <w:rFonts w:ascii="仿宋" w:hAnsi="仿宋" w:eastAsia="仿宋" w:cs="Times New Roman"/>
                <w:color w:val="000000"/>
                <w:sz w:val="24"/>
                <w:szCs w:val="24"/>
              </w:rPr>
            </w:pPr>
            <w:r>
              <w:rPr>
                <w:rFonts w:hint="eastAsia" w:ascii="仿宋" w:hAnsi="仿宋" w:eastAsia="仿宋" w:cs="Times New Roman"/>
                <w:sz w:val="24"/>
                <w:szCs w:val="24"/>
              </w:rPr>
              <w:t>海洋路校区</w:t>
            </w:r>
          </w:p>
        </w:tc>
        <w:tc>
          <w:tcPr>
            <w:tcW w:w="1995"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海洋路一食堂</w:t>
            </w:r>
          </w:p>
        </w:tc>
        <w:tc>
          <w:tcPr>
            <w:tcW w:w="3402" w:type="dxa"/>
            <w:tcBorders>
              <w:top w:val="single" w:color="000000" w:sz="4" w:space="0"/>
              <w:left w:val="nil"/>
              <w:bottom w:val="single" w:color="000000" w:sz="4" w:space="0"/>
              <w:right w:val="single" w:color="000000" w:sz="4" w:space="0"/>
            </w:tcBorders>
            <w:vAlign w:val="center"/>
          </w:tcPr>
          <w:p>
            <w:pPr>
              <w:rPr>
                <w:rFonts w:ascii="仿宋" w:hAnsi="仿宋" w:eastAsia="仿宋" w:cs="Calibri"/>
                <w:sz w:val="24"/>
                <w:szCs w:val="24"/>
              </w:rPr>
            </w:pPr>
            <w:r>
              <w:rPr>
                <w:rFonts w:hint="eastAsia" w:ascii="仿宋" w:hAnsi="仿宋" w:eastAsia="仿宋" w:cs="Times New Roman"/>
                <w:sz w:val="24"/>
                <w:szCs w:val="24"/>
              </w:rPr>
              <w:t>匠轩楼一楼及四楼教工餐厅</w:t>
            </w:r>
          </w:p>
        </w:tc>
        <w:tc>
          <w:tcPr>
            <w:tcW w:w="1350"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2090㎡</w:t>
            </w:r>
          </w:p>
        </w:tc>
        <w:tc>
          <w:tcPr>
            <w:tcW w:w="1350" w:type="dxa"/>
            <w:vMerge w:val="restart"/>
            <w:tcBorders>
              <w:top w:val="single" w:color="000000" w:sz="4" w:space="0"/>
              <w:left w:val="nil"/>
              <w:right w:val="single" w:color="000000" w:sz="4" w:space="0"/>
            </w:tcBorders>
            <w:vAlign w:val="center"/>
          </w:tcPr>
          <w:p>
            <w:pPr>
              <w:jc w:val="center"/>
              <w:rPr>
                <w:rFonts w:hint="eastAsia" w:ascii="仿宋" w:hAnsi="仿宋" w:eastAsia="仿宋" w:cs="Times New Roman"/>
                <w:sz w:val="24"/>
                <w:szCs w:val="24"/>
              </w:rPr>
            </w:pPr>
            <w:r>
              <w:rPr>
                <w:rFonts w:hint="eastAsia" w:ascii="仿宋" w:hAnsi="仿宋" w:eastAsia="仿宋" w:cs="Times New Roman"/>
                <w:sz w:val="24"/>
                <w:szCs w:val="24"/>
              </w:rPr>
              <w:t>2023年秋学期在校7947人，其中走读生1656人。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5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Times New Roman"/>
                <w:color w:val="000000"/>
                <w:sz w:val="24"/>
                <w:szCs w:val="24"/>
              </w:rPr>
            </w:pPr>
          </w:p>
        </w:tc>
        <w:tc>
          <w:tcPr>
            <w:tcW w:w="1995"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海洋路二食堂</w:t>
            </w:r>
          </w:p>
        </w:tc>
        <w:tc>
          <w:tcPr>
            <w:tcW w:w="3402" w:type="dxa"/>
            <w:tcBorders>
              <w:top w:val="single" w:color="000000" w:sz="4" w:space="0"/>
              <w:left w:val="nil"/>
              <w:bottom w:val="single" w:color="000000" w:sz="4" w:space="0"/>
              <w:right w:val="single" w:color="000000" w:sz="4" w:space="0"/>
            </w:tcBorders>
            <w:vAlign w:val="center"/>
          </w:tcPr>
          <w:p>
            <w:pPr>
              <w:rPr>
                <w:rFonts w:ascii="仿宋" w:hAnsi="仿宋" w:eastAsia="仿宋" w:cs="Times New Roman"/>
                <w:sz w:val="24"/>
                <w:szCs w:val="24"/>
              </w:rPr>
            </w:pPr>
            <w:r>
              <w:rPr>
                <w:rFonts w:hint="eastAsia" w:ascii="仿宋" w:hAnsi="仿宋" w:eastAsia="仿宋" w:cs="Times New Roman"/>
                <w:sz w:val="24"/>
                <w:szCs w:val="24"/>
              </w:rPr>
              <w:t>匠轩楼二楼</w:t>
            </w:r>
          </w:p>
        </w:tc>
        <w:tc>
          <w:tcPr>
            <w:tcW w:w="1350"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2330㎡</w:t>
            </w:r>
          </w:p>
        </w:tc>
        <w:tc>
          <w:tcPr>
            <w:tcW w:w="1350" w:type="dxa"/>
            <w:vMerge w:val="continue"/>
            <w:tcBorders>
              <w:left w:val="nil"/>
              <w:bottom w:val="single" w:color="000000" w:sz="4" w:space="0"/>
              <w:right w:val="single" w:color="000000" w:sz="4" w:space="0"/>
            </w:tcBorders>
            <w:vAlign w:val="center"/>
          </w:tcPr>
          <w:p>
            <w:pPr>
              <w:jc w:val="center"/>
              <w:rPr>
                <w:rFonts w:hint="eastAsia" w:ascii="仿宋" w:hAnsi="仿宋" w:eastAsia="仿宋" w:cs="Times New Roman"/>
                <w:sz w:val="24"/>
                <w:szCs w:val="24"/>
              </w:rPr>
            </w:pPr>
          </w:p>
        </w:tc>
      </w:tr>
    </w:tbl>
    <w:p>
      <w:pPr>
        <w:rPr>
          <w:rFonts w:hint="eastAsia" w:ascii="Calibri" w:hAnsi="Calibri" w:eastAsia="宋体" w:cs="Times New Roman"/>
          <w:szCs w:val="21"/>
        </w:rPr>
      </w:pPr>
    </w:p>
    <w:p>
      <w:pPr>
        <w:rPr>
          <w:rFonts w:hint="eastAsia" w:ascii="宋体" w:hAnsi="宋体" w:eastAsia="宋体" w:cs="Times New Roman"/>
          <w:sz w:val="28"/>
          <w:szCs w:val="28"/>
        </w:rPr>
      </w:pPr>
      <w:r>
        <w:rPr>
          <w:rFonts w:hint="eastAsia" w:ascii="宋体" w:hAnsi="宋体" w:eastAsia="宋体" w:cs="Times New Roman"/>
          <w:sz w:val="28"/>
          <w:szCs w:val="28"/>
        </w:rPr>
        <w:t>（2）校园超市</w:t>
      </w:r>
    </w:p>
    <w:tbl>
      <w:tblPr>
        <w:tblStyle w:val="5"/>
        <w:tblW w:w="95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2"/>
        <w:gridCol w:w="1843"/>
        <w:gridCol w:w="3543"/>
        <w:gridCol w:w="1276"/>
        <w:gridCol w:w="14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462" w:type="dxa"/>
            <w:tcBorders>
              <w:top w:val="single" w:color="000000" w:sz="4" w:space="0"/>
              <w:left w:val="single" w:color="000000" w:sz="4" w:space="0"/>
              <w:bottom w:val="single" w:color="000000" w:sz="4" w:space="0"/>
              <w:right w:val="single" w:color="000000" w:sz="4" w:space="0"/>
            </w:tcBorders>
            <w:vAlign w:val="center"/>
          </w:tcPr>
          <w:p>
            <w:pPr>
              <w:spacing w:before="156" w:beforeLines="50" w:after="156" w:afterLines="50" w:line="300" w:lineRule="exact"/>
              <w:jc w:val="center"/>
              <w:rPr>
                <w:rFonts w:ascii="宋体" w:hAnsi="宋体" w:eastAsia="宋体" w:cs="Calibri"/>
                <w:sz w:val="24"/>
                <w:szCs w:val="24"/>
              </w:rPr>
            </w:pPr>
            <w:r>
              <w:rPr>
                <w:rFonts w:hint="eastAsia" w:ascii="宋体" w:hAnsi="宋体" w:eastAsia="宋体" w:cs="Calibri"/>
                <w:sz w:val="24"/>
                <w:szCs w:val="24"/>
              </w:rPr>
              <w:t>所在校区</w:t>
            </w:r>
          </w:p>
        </w:tc>
        <w:tc>
          <w:tcPr>
            <w:tcW w:w="184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宋体" w:hAnsi="宋体" w:eastAsia="宋体" w:cs="Calibri"/>
                <w:sz w:val="24"/>
                <w:szCs w:val="24"/>
              </w:rPr>
            </w:pPr>
            <w:r>
              <w:rPr>
                <w:rFonts w:hint="eastAsia" w:ascii="宋体" w:hAnsi="宋体" w:eastAsia="宋体" w:cs="Calibri"/>
                <w:sz w:val="24"/>
                <w:szCs w:val="24"/>
              </w:rPr>
              <w:t>超市名称</w:t>
            </w:r>
          </w:p>
        </w:tc>
        <w:tc>
          <w:tcPr>
            <w:tcW w:w="354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宋体" w:hAnsi="宋体" w:eastAsia="宋体" w:cs="Calibri"/>
                <w:sz w:val="24"/>
                <w:szCs w:val="24"/>
              </w:rPr>
            </w:pPr>
            <w:r>
              <w:rPr>
                <w:rFonts w:hint="eastAsia" w:ascii="宋体" w:hAnsi="宋体" w:eastAsia="宋体" w:cs="Calibri"/>
                <w:sz w:val="24"/>
                <w:szCs w:val="24"/>
              </w:rPr>
              <w:t>所处位置</w:t>
            </w:r>
          </w:p>
        </w:tc>
        <w:tc>
          <w:tcPr>
            <w:tcW w:w="1276"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宋体" w:hAnsi="宋体" w:eastAsia="宋体" w:cs="Calibri"/>
                <w:sz w:val="24"/>
                <w:szCs w:val="24"/>
              </w:rPr>
            </w:pPr>
            <w:r>
              <w:rPr>
                <w:rFonts w:hint="eastAsia" w:ascii="宋体" w:hAnsi="宋体" w:eastAsia="宋体" w:cs="Calibri"/>
                <w:sz w:val="24"/>
                <w:szCs w:val="24"/>
              </w:rPr>
              <w:t>超市面积</w:t>
            </w:r>
          </w:p>
        </w:tc>
        <w:tc>
          <w:tcPr>
            <w:tcW w:w="140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hint="eastAsia" w:ascii="宋体" w:hAnsi="宋体" w:eastAsia="宋体" w:cs="Calibri"/>
                <w:sz w:val="24"/>
                <w:szCs w:val="24"/>
              </w:rPr>
            </w:pPr>
            <w:r>
              <w:rPr>
                <w:rFonts w:hint="eastAsia" w:ascii="宋体" w:hAnsi="宋体" w:eastAsia="宋体" w:cs="Calibri"/>
                <w:sz w:val="24"/>
                <w:szCs w:val="24"/>
              </w:rPr>
              <w:t>在校人数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462" w:type="dxa"/>
            <w:vMerge w:val="restart"/>
            <w:tcBorders>
              <w:top w:val="nil"/>
              <w:left w:val="single" w:color="000000" w:sz="4" w:space="0"/>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文港路校区</w:t>
            </w:r>
          </w:p>
        </w:tc>
        <w:tc>
          <w:tcPr>
            <w:tcW w:w="184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文港路东超市</w:t>
            </w:r>
          </w:p>
        </w:tc>
        <w:tc>
          <w:tcPr>
            <w:tcW w:w="3543" w:type="dxa"/>
            <w:tcBorders>
              <w:top w:val="nil"/>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文港路校区后勤服务中心一楼</w:t>
            </w:r>
          </w:p>
        </w:tc>
        <w:tc>
          <w:tcPr>
            <w:tcW w:w="1276"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1000㎡</w:t>
            </w:r>
          </w:p>
        </w:tc>
        <w:tc>
          <w:tcPr>
            <w:tcW w:w="1403" w:type="dxa"/>
            <w:vMerge w:val="restart"/>
            <w:tcBorders>
              <w:top w:val="single" w:color="000000" w:sz="4" w:space="0"/>
              <w:left w:val="nil"/>
              <w:right w:val="single" w:color="000000" w:sz="4" w:space="0"/>
            </w:tcBorders>
            <w:vAlign w:val="center"/>
          </w:tcPr>
          <w:p>
            <w:pPr>
              <w:spacing w:before="156" w:beforeLines="50" w:after="156" w:afterLines="50" w:line="300" w:lineRule="exact"/>
              <w:jc w:val="center"/>
              <w:rPr>
                <w:rFonts w:hint="eastAsia" w:ascii="仿宋" w:hAnsi="仿宋" w:eastAsia="仿宋" w:cs="Calibri"/>
                <w:sz w:val="24"/>
                <w:szCs w:val="24"/>
              </w:rPr>
            </w:pPr>
            <w:r>
              <w:rPr>
                <w:rFonts w:hint="eastAsia" w:ascii="仿宋" w:hAnsi="仿宋" w:eastAsia="仿宋" w:cs="Calibri"/>
                <w:sz w:val="24"/>
                <w:szCs w:val="24"/>
              </w:rPr>
              <w:t>2023年秋学期在校5899人，其中走读生1535人。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6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Calibri"/>
                <w:sz w:val="24"/>
                <w:szCs w:val="24"/>
              </w:rPr>
            </w:pPr>
          </w:p>
        </w:tc>
        <w:tc>
          <w:tcPr>
            <w:tcW w:w="184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文港路西超市</w:t>
            </w:r>
          </w:p>
        </w:tc>
        <w:tc>
          <w:tcPr>
            <w:tcW w:w="3543" w:type="dxa"/>
            <w:tcBorders>
              <w:top w:val="nil"/>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文港路校区西校园食堂一楼内</w:t>
            </w:r>
          </w:p>
        </w:tc>
        <w:tc>
          <w:tcPr>
            <w:tcW w:w="1276"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70㎡</w:t>
            </w:r>
          </w:p>
        </w:tc>
        <w:tc>
          <w:tcPr>
            <w:tcW w:w="1403" w:type="dxa"/>
            <w:vMerge w:val="continue"/>
            <w:tcBorders>
              <w:left w:val="nil"/>
              <w:bottom w:val="single" w:color="000000" w:sz="4" w:space="0"/>
              <w:right w:val="single" w:color="000000" w:sz="4" w:space="0"/>
            </w:tcBorders>
            <w:vAlign w:val="center"/>
          </w:tcPr>
          <w:p>
            <w:pPr>
              <w:spacing w:before="156" w:beforeLines="50" w:after="156" w:afterLines="50" w:line="300" w:lineRule="exact"/>
              <w:jc w:val="center"/>
              <w:rPr>
                <w:rFonts w:hint="eastAsia" w:ascii="仿宋" w:hAnsi="仿宋" w:eastAsia="仿宋" w:cs="Calibri"/>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62" w:type="dxa"/>
            <w:vMerge w:val="restart"/>
            <w:tcBorders>
              <w:top w:val="nil"/>
              <w:left w:val="single" w:color="000000" w:sz="4" w:space="0"/>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海洋路校区</w:t>
            </w:r>
          </w:p>
        </w:tc>
        <w:tc>
          <w:tcPr>
            <w:tcW w:w="184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海洋路东超市</w:t>
            </w:r>
          </w:p>
        </w:tc>
        <w:tc>
          <w:tcPr>
            <w:tcW w:w="3543" w:type="dxa"/>
            <w:tcBorders>
              <w:top w:val="nil"/>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海洋路校区5号公寓楼一楼西侧</w:t>
            </w:r>
          </w:p>
        </w:tc>
        <w:tc>
          <w:tcPr>
            <w:tcW w:w="1276"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700㎡</w:t>
            </w:r>
          </w:p>
        </w:tc>
        <w:tc>
          <w:tcPr>
            <w:tcW w:w="1403" w:type="dxa"/>
            <w:vMerge w:val="restart"/>
            <w:tcBorders>
              <w:top w:val="single" w:color="000000" w:sz="4" w:space="0"/>
              <w:left w:val="nil"/>
              <w:right w:val="single" w:color="000000" w:sz="4" w:space="0"/>
            </w:tcBorders>
            <w:vAlign w:val="center"/>
          </w:tcPr>
          <w:p>
            <w:pPr>
              <w:spacing w:before="156" w:beforeLines="50" w:after="156" w:afterLines="50" w:line="300" w:lineRule="exact"/>
              <w:jc w:val="center"/>
              <w:rPr>
                <w:rFonts w:hint="eastAsia" w:ascii="仿宋" w:hAnsi="仿宋" w:eastAsia="仿宋" w:cs="Calibri"/>
                <w:sz w:val="24"/>
                <w:szCs w:val="24"/>
              </w:rPr>
            </w:pPr>
            <w:r>
              <w:rPr>
                <w:rFonts w:hint="eastAsia" w:ascii="仿宋" w:hAnsi="仿宋" w:eastAsia="仿宋" w:cs="Calibri"/>
                <w:sz w:val="24"/>
                <w:szCs w:val="24"/>
              </w:rPr>
              <w:t>2023年秋学期在校7947人，其中走读生1656人。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jc w:val="center"/>
        </w:trPr>
        <w:tc>
          <w:tcPr>
            <w:tcW w:w="146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s="Calibri"/>
                <w:sz w:val="24"/>
                <w:szCs w:val="24"/>
              </w:rPr>
            </w:pPr>
          </w:p>
        </w:tc>
        <w:tc>
          <w:tcPr>
            <w:tcW w:w="1843"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海洋路西超市</w:t>
            </w:r>
          </w:p>
        </w:tc>
        <w:tc>
          <w:tcPr>
            <w:tcW w:w="3543" w:type="dxa"/>
            <w:tcBorders>
              <w:top w:val="nil"/>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海洋路校区匠轩楼一楼西侧</w:t>
            </w:r>
          </w:p>
        </w:tc>
        <w:tc>
          <w:tcPr>
            <w:tcW w:w="1276" w:type="dxa"/>
            <w:tcBorders>
              <w:top w:val="single" w:color="000000" w:sz="4" w:space="0"/>
              <w:left w:val="nil"/>
              <w:bottom w:val="single" w:color="000000" w:sz="4" w:space="0"/>
              <w:right w:val="single" w:color="000000" w:sz="4" w:space="0"/>
            </w:tcBorders>
            <w:vAlign w:val="center"/>
          </w:tcPr>
          <w:p>
            <w:pPr>
              <w:spacing w:before="156" w:beforeLines="50" w:after="156" w:afterLines="50" w:line="300" w:lineRule="exact"/>
              <w:jc w:val="center"/>
              <w:rPr>
                <w:rFonts w:ascii="仿宋" w:hAnsi="仿宋" w:eastAsia="仿宋" w:cs="Calibri"/>
                <w:sz w:val="24"/>
                <w:szCs w:val="24"/>
              </w:rPr>
            </w:pPr>
            <w:r>
              <w:rPr>
                <w:rFonts w:hint="eastAsia" w:ascii="仿宋" w:hAnsi="仿宋" w:eastAsia="仿宋" w:cs="Calibri"/>
                <w:sz w:val="24"/>
                <w:szCs w:val="24"/>
              </w:rPr>
              <w:t>150㎡</w:t>
            </w:r>
          </w:p>
        </w:tc>
        <w:tc>
          <w:tcPr>
            <w:tcW w:w="1403" w:type="dxa"/>
            <w:vMerge w:val="continue"/>
            <w:tcBorders>
              <w:left w:val="nil"/>
              <w:bottom w:val="single" w:color="000000" w:sz="4" w:space="0"/>
              <w:right w:val="single" w:color="000000" w:sz="4" w:space="0"/>
            </w:tcBorders>
            <w:vAlign w:val="center"/>
          </w:tcPr>
          <w:p>
            <w:pPr>
              <w:spacing w:before="156" w:beforeLines="50" w:after="156" w:afterLines="50" w:line="300" w:lineRule="exact"/>
              <w:jc w:val="center"/>
              <w:rPr>
                <w:rFonts w:hint="eastAsia" w:ascii="仿宋" w:hAnsi="仿宋" w:eastAsia="仿宋" w:cs="Calibri"/>
                <w:sz w:val="24"/>
                <w:szCs w:val="24"/>
              </w:rPr>
            </w:pPr>
          </w:p>
        </w:tc>
      </w:tr>
    </w:tbl>
    <w:p>
      <w:pPr>
        <w:rPr>
          <w:rFonts w:hint="eastAsia" w:ascii="Calibri" w:hAnsi="Calibri" w:eastAsia="宋体" w:cs="Times New Roman"/>
          <w:szCs w:val="21"/>
        </w:rPr>
      </w:pPr>
      <w:r>
        <w:rPr>
          <w:rFonts w:hint="eastAsia" w:ascii="Calibri" w:hAnsi="Calibri" w:eastAsia="宋体"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Times New Roman"/>
          <w:b/>
          <w:bCs/>
          <w:sz w:val="28"/>
          <w:szCs w:val="28"/>
        </w:rPr>
      </w:pPr>
      <w:r>
        <w:rPr>
          <w:rFonts w:hint="eastAsia" w:ascii="宋体" w:hAnsi="宋体" w:eastAsia="宋体" w:cs="Times New Roman"/>
          <w:b/>
          <w:bCs/>
          <w:sz w:val="28"/>
          <w:szCs w:val="28"/>
        </w:rPr>
        <w:t>2、经营范围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（1）学生食堂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仅对在校师生开放，不对外营业。为师生提供餐饮服务，以中式快餐（套餐）为主，兼营风味档口（风味档口数量不得超过总窗口数的三分之二，电气使用功率不超过学校审定后标准）。不出售烟酒、定型包装饮品食品、水果及其制品；不在就餐区域内或食堂外设置档口或摊点（原有档口或摊点须拆除）；不加工出售《食品经营许可证》许可范围外的饮品、食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（2）校园超市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仅对在校师生开放，不对外营业。小百货、日用品、定型包装饮食品、冷饮、文体用品等。禁止销售超出经营范围的各类副食品、自制熟食品（如烤肠、五香蛋、肉串、散装食品、热饮、饭菜、包子、馒头、油条、豆奶、豆浆、奶茶等），禁止销售加工后的水果；禁止销售口香糖、瓜子、香烟、各类酒、通信产品及有毒、易燃易爆等物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在学校指定区域投放指定数量的自动售货机，文港路东超市3台；文港路西超市2台；海洋路东超市3台；海洋路西超市2台。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eastAsia" w:ascii="宋体" w:hAnsi="宋体" w:eastAsia="宋体" w:cs="Times New Roman"/>
          <w:b/>
          <w:bCs/>
          <w:sz w:val="28"/>
          <w:szCs w:val="28"/>
        </w:rPr>
      </w:pPr>
      <w:r>
        <w:rPr>
          <w:rFonts w:hint="eastAsia" w:ascii="宋体" w:hAnsi="宋体" w:eastAsia="宋体" w:cs="Times New Roman"/>
          <w:b/>
          <w:bCs/>
          <w:kern w:val="2"/>
          <w:sz w:val="28"/>
          <w:szCs w:val="28"/>
          <w:lang w:val="en-US" w:eastAsia="zh-CN" w:bidi="ar-SA"/>
        </w:rPr>
        <w:t>3、</w:t>
      </w:r>
      <w:r>
        <w:rPr>
          <w:rFonts w:hint="eastAsia" w:ascii="宋体" w:hAnsi="宋体" w:eastAsia="宋体" w:cs="Times New Roman"/>
          <w:b/>
          <w:bCs/>
          <w:sz w:val="28"/>
          <w:szCs w:val="28"/>
          <w:lang w:val="en-US" w:eastAsia="zh-CN"/>
        </w:rPr>
        <w:t>售价规定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（1）学生食堂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Times New Roman"/>
          <w:sz w:val="28"/>
          <w:szCs w:val="28"/>
          <w:lang w:val="en-US" w:eastAsia="zh-CN"/>
        </w:rPr>
        <w:t>学生食堂</w:t>
      </w:r>
      <w:r>
        <w:rPr>
          <w:rFonts w:hint="default" w:ascii="宋体" w:hAnsi="宋体" w:eastAsia="宋体" w:cs="Times New Roman"/>
          <w:sz w:val="28"/>
          <w:szCs w:val="28"/>
          <w:lang w:val="en-US" w:eastAsia="zh-CN"/>
        </w:rPr>
        <w:t>需坚持公益性原则，</w:t>
      </w:r>
      <w:r>
        <w:rPr>
          <w:rFonts w:hint="eastAsia" w:ascii="宋体" w:hAnsi="宋体" w:eastAsia="宋体" w:cs="Times New Roman"/>
          <w:sz w:val="28"/>
          <w:szCs w:val="28"/>
          <w:lang w:val="en-US" w:eastAsia="zh-CN"/>
        </w:rPr>
        <w:t>中式快餐（套餐）价格执行“学校基本保障食品指导价”要求，风味档口主辅料和调料占营收比例控制在50</w:t>
      </w:r>
      <w:r>
        <w:rPr>
          <w:rFonts w:hint="eastAsia" w:ascii="宋体" w:hAnsi="宋体" w:eastAsia="宋体" w:cs="宋体"/>
          <w:sz w:val="28"/>
          <w:szCs w:val="28"/>
          <w:lang w:val="en-US" w:eastAsia="zh-CN"/>
        </w:rPr>
        <w:t>％±3％之间。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Times New Roman"/>
          <w:sz w:val="28"/>
          <w:szCs w:val="28"/>
        </w:rPr>
      </w:pPr>
      <w:r>
        <w:rPr>
          <w:rFonts w:hint="eastAsia" w:ascii="宋体" w:hAnsi="宋体" w:eastAsia="宋体" w:cs="Times New Roman"/>
          <w:sz w:val="28"/>
          <w:szCs w:val="28"/>
        </w:rPr>
        <w:t>（2）校园超市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校园超市所售商品不得超过大润发同品牌规格零售价，无同类的商品毛利率不得超过25％，水果毛利率不得超过30％。</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default" w:ascii="仿宋_GB2312" w:eastAsia="仿宋_GB2312" w:cs="仿宋_GB2312"/>
          <w:b/>
          <w:bCs/>
          <w:color w:val="000000"/>
          <w:sz w:val="28"/>
          <w:szCs w:val="28"/>
        </w:rPr>
        <w:t>投标人需踏勘现场，未踏勘现场导致的对项目需求了解不充分的，由投人自行承担。现场踏勘联系人：</w:t>
      </w:r>
      <w:r>
        <w:rPr>
          <w:rFonts w:hint="eastAsia" w:ascii="仿宋_GB2312" w:eastAsia="仿宋_GB2312" w:cs="仿宋_GB2312"/>
          <w:b/>
          <w:bCs/>
          <w:color w:val="000000"/>
          <w:sz w:val="28"/>
          <w:szCs w:val="28"/>
          <w:lang w:eastAsia="zh-CN"/>
        </w:rPr>
        <w:t>王老师</w:t>
      </w:r>
      <w:r>
        <w:rPr>
          <w:rFonts w:hint="eastAsia" w:ascii="仿宋_GB2312" w:eastAsia="仿宋_GB2312" w:cs="仿宋_GB2312"/>
          <w:b/>
          <w:bCs/>
          <w:color w:val="000000"/>
          <w:sz w:val="28"/>
          <w:szCs w:val="28"/>
          <w:lang w:val="en-US" w:eastAsia="zh-CN"/>
        </w:rPr>
        <w:t>13921875229</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1．在中华人民共和国境内注册，符合《中华人民共和国政府采购法》第二十二条之规定。</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2．投标人必须具有独立承担民事责任的能力,具有三证合一的营业执照，经营范围与本次招标项目</w:t>
      </w:r>
      <w:r>
        <w:rPr>
          <w:rFonts w:hint="eastAsia" w:ascii="仿宋_GB2312" w:eastAsia="仿宋_GB2312" w:cs="仿宋_GB2312"/>
          <w:color w:val="000000"/>
          <w:sz w:val="28"/>
          <w:szCs w:val="28"/>
          <w:lang w:eastAsia="zh-CN"/>
        </w:rPr>
        <w:t>实质性相符</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评估项目负责人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评估项目负责人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评估项目负责人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评估</w:t>
      </w:r>
      <w:r>
        <w:rPr>
          <w:rFonts w:hint="default" w:ascii="仿宋_GB2312" w:eastAsia="仿宋_GB2312" w:cs="仿宋_GB2312"/>
          <w:color w:val="000000"/>
          <w:sz w:val="28"/>
          <w:szCs w:val="28"/>
        </w:rPr>
        <w:t>合同履行期间除不可抗力外不得变更。</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三、</w:t>
      </w:r>
      <w:r>
        <w:rPr>
          <w:rFonts w:hint="eastAsia" w:ascii="黑体" w:hAnsi="宋体" w:eastAsia="黑体" w:cs="黑体"/>
          <w:b/>
          <w:bCs/>
          <w:color w:val="000000"/>
          <w:sz w:val="28"/>
          <w:szCs w:val="28"/>
          <w:lang w:eastAsia="zh-CN"/>
        </w:rPr>
        <w:t>评估</w:t>
      </w:r>
      <w:r>
        <w:rPr>
          <w:rFonts w:hint="eastAsia" w:ascii="黑体" w:hAnsi="宋体" w:eastAsia="黑体" w:cs="黑体"/>
          <w:b/>
          <w:bCs/>
          <w:color w:val="000000"/>
          <w:sz w:val="28"/>
          <w:szCs w:val="28"/>
        </w:rPr>
        <w:t>要求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1．采购内容：对江苏省盐城技师学院</w:t>
      </w:r>
      <w:r>
        <w:rPr>
          <w:rFonts w:hint="default" w:ascii="仿宋_GB2312" w:eastAsia="仿宋_GB2312" w:cs="仿宋_GB2312"/>
          <w:color w:val="000000"/>
          <w:sz w:val="28"/>
          <w:szCs w:val="28"/>
          <w:u w:val="single"/>
        </w:rPr>
        <w:t>新一轮食堂、超市租赁费第三方评估</w:t>
      </w:r>
      <w:r>
        <w:rPr>
          <w:rFonts w:hint="default" w:ascii="仿宋_GB2312" w:eastAsia="仿宋_GB2312" w:cs="仿宋_GB2312"/>
          <w:color w:val="000000"/>
          <w:sz w:val="28"/>
          <w:szCs w:val="28"/>
        </w:rPr>
        <w:t>且满足招标人需求。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2．服务期限：合同签订之日起10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w:t>
      </w:r>
      <w:r>
        <w:rPr>
          <w:rFonts w:hint="eastAsia" w:ascii="仿宋_GB2312" w:eastAsia="仿宋_GB2312" w:cs="仿宋_GB2312"/>
          <w:color w:val="000000"/>
          <w:sz w:val="28"/>
          <w:szCs w:val="28"/>
          <w:lang w:eastAsia="zh-CN"/>
        </w:rPr>
        <w:t>评估并出具评估报告</w:t>
      </w:r>
      <w:r>
        <w:rPr>
          <w:rFonts w:hint="default" w:ascii="仿宋_GB2312" w:eastAsia="仿宋_GB2312" w:cs="仿宋_GB2312"/>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四、项目预算</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3.6万元</w:t>
      </w:r>
      <w:r>
        <w:rPr>
          <w:rFonts w:hint="default" w:ascii="仿宋_GB2312" w:eastAsia="仿宋_GB2312" w:cs="仿宋_GB2312"/>
          <w:color w:val="000000"/>
          <w:sz w:val="28"/>
          <w:szCs w:val="28"/>
        </w:rPr>
        <w:t>，本项目为总价包干，</w:t>
      </w:r>
      <w:r>
        <w:rPr>
          <w:rFonts w:hint="eastAsia" w:ascii="仿宋_GB2312" w:eastAsia="仿宋_GB2312" w:cs="仿宋_GB2312"/>
          <w:color w:val="000000"/>
          <w:sz w:val="28"/>
          <w:szCs w:val="28"/>
          <w:lang w:eastAsia="zh-CN"/>
        </w:rPr>
        <w:t>评估</w:t>
      </w:r>
      <w:r>
        <w:rPr>
          <w:rFonts w:hint="default" w:ascii="仿宋_GB2312" w:eastAsia="仿宋_GB2312" w:cs="仿宋_GB2312"/>
          <w:color w:val="000000"/>
          <w:sz w:val="28"/>
          <w:szCs w:val="28"/>
        </w:rPr>
        <w:t>所需的一切费用均计入报价，采购人不支付中标价以外的其他款项，超过预算的报价为无效报价</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五、询价文件获取、报价文件递交截止时间、开标时间及地点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28</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30</w:t>
      </w:r>
      <w:r>
        <w:rPr>
          <w:rFonts w:hint="default" w:ascii="仿宋_GB2312" w:eastAsia="仿宋_GB2312" w:cs="仿宋_GB2312"/>
          <w:b/>
          <w:bCs/>
          <w:color w:val="000000"/>
          <w:sz w:val="28"/>
          <w:szCs w:val="28"/>
          <w:u w:val="single"/>
          <w:shd w:val="clear" w:fill="FFFFFF"/>
        </w:rPr>
        <w:t>日（9:00-11:00；15:00—17:30）；</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老师0515—68661002/</w:t>
      </w:r>
      <w:r>
        <w:rPr>
          <w:rFonts w:hint="eastAsia" w:ascii="仿宋_GB2312" w:eastAsia="仿宋_GB2312" w:cs="仿宋_GB2312"/>
          <w:color w:val="000000"/>
          <w:sz w:val="28"/>
          <w:szCs w:val="28"/>
          <w:shd w:val="clear" w:fill="FFFFFF"/>
          <w:lang w:val="en-US" w:eastAsia="zh-CN"/>
        </w:rPr>
        <w:t>13905109103</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6</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10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6</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10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六、投标保证金及履约保证金</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eastAsia" w:ascii="仿宋_GB2312" w:eastAsia="仿宋_GB2312" w:cs="仿宋_GB2312"/>
          <w:b/>
          <w:bCs/>
          <w:color w:val="000000"/>
          <w:sz w:val="28"/>
          <w:szCs w:val="28"/>
          <w:u w:val="single"/>
          <w:lang w:val="en-US" w:eastAsia="zh-CN"/>
        </w:rPr>
        <w:t>1</w:t>
      </w:r>
      <w:r>
        <w:rPr>
          <w:rFonts w:hint="default" w:ascii="仿宋_GB2312" w:eastAsia="仿宋_GB2312" w:cs="仿宋_GB2312"/>
          <w:b/>
          <w:bCs/>
          <w:color w:val="000000"/>
          <w:sz w:val="28"/>
          <w:szCs w:val="28"/>
          <w:u w:val="single"/>
        </w:rPr>
        <w:t>000元</w:t>
      </w:r>
      <w:r>
        <w:rPr>
          <w:rFonts w:hint="default" w:ascii="仿宋_GB2312" w:eastAsia="仿宋_GB2312" w:cs="仿宋_GB2312"/>
          <w:color w:val="000000"/>
          <w:sz w:val="28"/>
          <w:szCs w:val="28"/>
        </w:rPr>
        <w:t>，投标保证金必须使用银行本票、汇票形式，投标人未能按上述要求提交投标保证金的，招标人将视其为不响应投标而予以拒绝。</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2.投标保证金核验方式为：投标文件递交的同时，投标单位将本票、汇票直接提交给投标文件接收人员。未按上述要求提交保证金交款凭据的，投标文件将不予接收。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w:t>
      </w:r>
      <w:r>
        <w:rPr>
          <w:rFonts w:hint="eastAsia" w:ascii="仿宋_GB2312" w:eastAsia="仿宋_GB2312" w:cs="仿宋_GB2312"/>
          <w:color w:val="000000"/>
          <w:sz w:val="28"/>
          <w:szCs w:val="28"/>
          <w:lang w:eastAsia="zh-CN"/>
        </w:rPr>
        <w:t>前</w:t>
      </w:r>
      <w:r>
        <w:rPr>
          <w:rFonts w:hint="default" w:ascii="仿宋_GB2312" w:eastAsia="仿宋_GB2312" w:cs="仿宋_GB2312"/>
          <w:color w:val="000000"/>
          <w:sz w:val="28"/>
          <w:szCs w:val="28"/>
        </w:rPr>
        <w:t>向招标人指定账号缴纳履约保证金</w:t>
      </w:r>
      <w:r>
        <w:rPr>
          <w:rFonts w:hint="eastAsia" w:ascii="仿宋_GB2312" w:eastAsia="仿宋_GB2312" w:cs="仿宋_GB2312"/>
          <w:color w:val="000000"/>
          <w:sz w:val="28"/>
          <w:szCs w:val="28"/>
          <w:lang w:val="en-US" w:eastAsia="zh-CN"/>
        </w:rPr>
        <w:t>1</w:t>
      </w:r>
      <w:r>
        <w:rPr>
          <w:rFonts w:hint="default" w:ascii="仿宋_GB2312" w:eastAsia="仿宋_GB2312" w:cs="仿宋_GB2312"/>
          <w:color w:val="000000"/>
          <w:sz w:val="28"/>
          <w:szCs w:val="28"/>
        </w:rPr>
        <w:t>000元。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（1）投标人在投标有效期内撤回其投标；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（2）中标人在规定期限内未签订合同；</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（3）投标人提供的有关资料、资格证书被确认是不真实的；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（4）投标人被证明有妨碍其他人公平竞争、损害招标人或者其他投标人合法权益的；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（5）投标人故意捏造事实或伪造证明材料，进行虚假恶意投诉或反映的。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5.履约保证金的退还：按合同要求供货并验收合格，项目完成后全额退还（无息）。</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default"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6</w:t>
      </w:r>
      <w:r>
        <w:rPr>
          <w:rFonts w:hint="default" w:ascii="仿宋_GB2312" w:eastAsia="仿宋_GB2312" w:cs="仿宋_GB2312"/>
          <w:color w:val="000000"/>
          <w:sz w:val="28"/>
          <w:szCs w:val="28"/>
        </w:rPr>
        <w:t>、招标（采购）资料费 200 元，投标人交纳的招标（采购）资料费，售后不退。</w:t>
      </w:r>
    </w:p>
    <w:p>
      <w:pPr>
        <w:shd w:val="clear" w:color="auto" w:fill="FFFFFF"/>
        <w:spacing w:line="500" w:lineRule="exact"/>
        <w:ind w:firstLine="562" w:firstLineChars="200"/>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七、期望得到的协助与配合</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为了提高招标采购效率，节约社会交易成本及时间，希望报名并购买了询价文件，而又决定不参加本次询价的投标人，请在报价文件递交截止时间前1天书面或电话告知我们（</w:t>
      </w:r>
      <w:r>
        <w:rPr>
          <w:rFonts w:hint="eastAsia" w:ascii="仿宋_GB2312" w:hAnsi="仿宋_GB2312" w:eastAsia="仿宋_GB2312" w:cs="仿宋_GB2312"/>
          <w:color w:val="000000"/>
          <w:kern w:val="2"/>
          <w:sz w:val="28"/>
          <w:szCs w:val="28"/>
          <w:lang w:val="en-US" w:eastAsia="zh-CN" w:bidi="ar-SA"/>
        </w:rPr>
        <w:t>联系人：王老师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r>
        <w:rPr>
          <w:rFonts w:hint="default" w:ascii="仿宋_GB2312" w:eastAsia="仿宋_GB2312" w:cs="仿宋_GB2312"/>
          <w:color w:val="000000"/>
          <w:sz w:val="28"/>
          <w:szCs w:val="28"/>
        </w:rPr>
        <w:t>），对于无故临时放弃的投标人，我校将根据情况将投标单位纳入招投标黑名单。对您的支持与配合，谨此致谢。</w:t>
      </w:r>
    </w:p>
    <w:p>
      <w:pPr>
        <w:keepNext w:val="0"/>
        <w:keepLines w:val="0"/>
        <w:pageBreakBefore w:val="0"/>
        <w:widowControl w:val="0"/>
        <w:kinsoku/>
        <w:wordWrap/>
        <w:overflowPunct/>
        <w:topLinePunct w:val="0"/>
        <w:bidi w:val="0"/>
        <w:snapToGrid/>
        <w:spacing w:line="50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widowControl w:val="0"/>
        <w:kinsoku/>
        <w:wordWrap/>
        <w:overflowPunct/>
        <w:topLinePunct w:val="0"/>
        <w:bidi w:val="0"/>
        <w:snapToGrid/>
        <w:spacing w:line="50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27</w:t>
      </w:r>
      <w:r>
        <w:rPr>
          <w:rFonts w:hint="eastAsia" w:ascii="仿宋_GB2312" w:hAnsi="仿宋_GB2312" w:eastAsia="仿宋_GB2312" w:cs="仿宋_GB2312"/>
          <w:color w:val="000000"/>
          <w:sz w:val="28"/>
          <w:szCs w:val="28"/>
        </w:rPr>
        <w:t>日</w:t>
      </w:r>
    </w:p>
    <w:p>
      <w:pPr>
        <w:rPr>
          <w:rFonts w:hint="eastAsia"/>
          <w:lang w:val="en-US" w:eastAsia="zh-CN"/>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bookmarkStart w:id="0" w:name="_GoBack"/>
      <w:bookmarkEnd w:id="0"/>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5"/>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88"/>
        <w:gridCol w:w="3414"/>
        <w:gridCol w:w="1702"/>
        <w:gridCol w:w="1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tblCellSpacing w:w="0" w:type="dxa"/>
          <w:jc w:val="center"/>
        </w:trPr>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blCellSpacing w:w="0" w:type="dxa"/>
          <w:jc w:val="center"/>
        </w:trPr>
        <w:tc>
          <w:tcPr>
            <w:tcW w:w="2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ascii="仿宋_GB2312" w:eastAsia="仿宋_GB2312" w:cs="仿宋_GB2312"/>
                <w:color w:val="000000"/>
                <w:sz w:val="28"/>
                <w:szCs w:val="28"/>
              </w:rPr>
            </w:pPr>
            <w:r>
              <w:rPr>
                <w:rFonts w:hint="eastAsia" w:ascii="仿宋_GB2312" w:eastAsia="仿宋_GB2312" w:cs="仿宋_GB2312"/>
                <w:color w:val="000000"/>
                <w:sz w:val="28"/>
                <w:szCs w:val="28"/>
                <w:lang w:eastAsia="zh-CN"/>
              </w:rPr>
              <w:t>公开遴选新一轮食堂、超市租赁费第三方评估公司项目</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eastAsia="仿宋_GB2312"/>
                <w:lang w:eastAsia="zh-CN"/>
              </w:rPr>
            </w:pP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w:t>
            </w:r>
            <w:r>
              <w:rPr>
                <w:rFonts w:hint="eastAsia" w:ascii="仿宋_GB2312" w:eastAsia="仿宋_GB2312" w:cs="仿宋_GB2312"/>
                <w:color w:val="000000"/>
                <w:sz w:val="28"/>
                <w:szCs w:val="28"/>
                <w:lang w:eastAsia="zh-CN"/>
              </w:rPr>
              <w:t>评估并出具资产评估报告</w:t>
            </w:r>
            <w:r>
              <w:t> </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blCellSpacing w:w="0" w:type="dxa"/>
          <w:jc w:val="center"/>
        </w:trPr>
        <w:tc>
          <w:tcPr>
            <w:tcW w:w="2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pPr>
        <w:pStyle w:val="3"/>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eastAsia="仿宋_GB2312" w:cs="仿宋_GB2312"/>
          <w:color w:val="000000"/>
          <w:sz w:val="28"/>
          <w:szCs w:val="28"/>
          <w:u w:val="single"/>
          <w:lang w:eastAsia="zh-CN"/>
        </w:rPr>
        <w:t>公开遴选新一轮食堂、超市租赁费第三方评估公司</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投标人定名称（公章）；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Times New Roman" w:hAnsi="Times New Roman" w:cs="Times New Roman"/>
          <w:color w:val="000000"/>
          <w:sz w:val="24"/>
          <w:szCs w:val="24"/>
        </w:rPr>
        <w:t>本授权书声明：</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公司的_______  （法定代表人姓名）_______职务代表本公司授权</w:t>
      </w:r>
      <w:r>
        <w:rPr>
          <w:rFonts w:hint="default" w:ascii="Times New Roman" w:hAnsi="Times New Roman" w:cs="Times New Roman"/>
          <w:color w:val="000000"/>
          <w:sz w:val="24"/>
          <w:szCs w:val="24"/>
          <w:u w:val="single"/>
        </w:rPr>
        <w:t xml:space="preserve">      </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（被授权人的姓名）</w:t>
      </w:r>
      <w:r>
        <w:rPr>
          <w:rFonts w:hint="default" w:ascii="Times New Roman" w:hAnsi="Times New Roman" w:cs="Times New Roman"/>
          <w:color w:val="000000"/>
          <w:sz w:val="24"/>
          <w:szCs w:val="24"/>
          <w:u w:val="none"/>
        </w:rPr>
        <w:t>______ </w:t>
      </w:r>
      <w:r>
        <w:rPr>
          <w:rFonts w:hint="default" w:ascii="Times New Roman" w:hAnsi="Times New Roman" w:cs="Times New Roman"/>
          <w:color w:val="000000"/>
          <w:sz w:val="24"/>
          <w:szCs w:val="24"/>
        </w:rPr>
        <w:t>(职务)为本公司的合法投标代表，就参加</w:t>
      </w:r>
      <w:r>
        <w:rPr>
          <w:rFonts w:hint="default" w:ascii="仿宋_GB2312" w:eastAsia="仿宋_GB2312" w:cs="仿宋_GB2312"/>
          <w:color w:val="000000"/>
          <w:sz w:val="24"/>
          <w:szCs w:val="24"/>
          <w:u w:val="single"/>
        </w:rPr>
        <w:t>XJ202</w:t>
      </w:r>
      <w:r>
        <w:rPr>
          <w:rFonts w:hint="eastAsia" w:ascii="仿宋_GB2312" w:eastAsia="仿宋_GB2312" w:cs="仿宋_GB2312"/>
          <w:color w:val="000000"/>
          <w:sz w:val="24"/>
          <w:szCs w:val="24"/>
          <w:u w:val="single"/>
          <w:lang w:val="en-US" w:eastAsia="zh-CN"/>
        </w:rPr>
        <w:t>4050</w:t>
      </w:r>
      <w:r>
        <w:rPr>
          <w:rFonts w:hint="default" w:ascii="Times New Roman" w:hAnsi="Times New Roman" w:cs="Times New Roman"/>
          <w:color w:val="000000"/>
          <w:sz w:val="24"/>
          <w:szCs w:val="24"/>
        </w:rPr>
        <w:t>（编号）号标的内容的投标、签订合同以及合同的执行、完成和纠纷处理，以本公司名义处理一切与之有关的事务。</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Times New Roman" w:hAnsi="Times New Roman" w:cs="Times New Roman"/>
          <w:color w:val="000000"/>
          <w:sz w:val="24"/>
          <w:szCs w:val="24"/>
        </w:rPr>
        <w:t>本授权书于</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年</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月</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日签字生效，特此声明。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Times New Roman" w:hAnsi="Times New Roman" w:cs="Times New Roman"/>
          <w:color w:val="000000"/>
          <w:sz w:val="24"/>
          <w:szCs w:val="24"/>
        </w:rPr>
        <w:t xml:space="preserve">法定代表人签字：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职    务：</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单位名称：</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地    址：</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投标代表（被授权人）签字：</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职    务：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单位名称：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地    址：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投标人（单位公章）：</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日    期：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Times New Roman" w:hAnsi="Times New Roman" w:cs="Times New Roman"/>
          <w:color w:val="000000"/>
          <w:sz w:val="24"/>
          <w:szCs w:val="2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Times New Roman" w:hAnsi="Times New Roman" w:cs="Times New Roman"/>
          <w:b/>
          <w:bCs/>
          <w:color w:val="000000"/>
          <w:sz w:val="30"/>
          <w:szCs w:val="30"/>
          <w:lang w:eastAsia="zh-CN"/>
        </w:rPr>
        <w:t>评估</w:t>
      </w: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负责人</w:t>
      </w:r>
      <w:r>
        <w:rPr>
          <w:rFonts w:hint="default" w:ascii="Times New Roman" w:hAnsi="Times New Roman" w:cs="Times New Roman"/>
          <w:b/>
          <w:bCs/>
          <w:color w:val="000000"/>
          <w:sz w:val="30"/>
          <w:szCs w:val="30"/>
        </w:rPr>
        <w:t>简历</w:t>
      </w:r>
    </w:p>
    <w:tbl>
      <w:tblPr>
        <w:tblStyle w:val="5"/>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9"/>
        <w:gridCol w:w="1802"/>
        <w:gridCol w:w="1320"/>
        <w:gridCol w:w="987"/>
        <w:gridCol w:w="948"/>
        <w:gridCol w:w="1003"/>
        <w:gridCol w:w="892"/>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Theme="minorEastAsia"/>
                <w:lang w:eastAsia="zh-CN"/>
              </w:rPr>
            </w:pPr>
            <w:r>
              <w:rPr>
                <w:rFonts w:hint="eastAsia" w:ascii="Times New Roman" w:hAnsi="Times New Roman" w:cs="Times New Roman"/>
                <w:color w:val="000000"/>
                <w:sz w:val="21"/>
                <w:szCs w:val="21"/>
                <w:lang w:eastAsia="zh-CN"/>
              </w:rPr>
              <w:t>评估项目负责人</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BA676CC"/>
    <w:rsid w:val="00DB36A3"/>
    <w:rsid w:val="09A00C70"/>
    <w:rsid w:val="0B8054C5"/>
    <w:rsid w:val="1698534B"/>
    <w:rsid w:val="29215311"/>
    <w:rsid w:val="297178A3"/>
    <w:rsid w:val="2BF81333"/>
    <w:rsid w:val="2C687786"/>
    <w:rsid w:val="30086A27"/>
    <w:rsid w:val="33C00BED"/>
    <w:rsid w:val="42367E14"/>
    <w:rsid w:val="505478B7"/>
    <w:rsid w:val="50893782"/>
    <w:rsid w:val="50E41479"/>
    <w:rsid w:val="6BA676CC"/>
    <w:rsid w:val="6BE0422A"/>
    <w:rsid w:val="6F4B62B2"/>
    <w:rsid w:val="72FC1FAF"/>
    <w:rsid w:val="7BC32901"/>
    <w:rsid w:val="7DF1259C"/>
    <w:rsid w:val="7E813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99"/>
    <w:pPr>
      <w:spacing w:after="12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w:basedOn w:val="2"/>
    <w:autoRedefine/>
    <w:qFormat/>
    <w:uiPriority w:val="99"/>
    <w:pPr>
      <w:ind w:firstLine="420" w:firstLineChars="100"/>
    </w:p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3971</Words>
  <Characters>4279</Characters>
  <Lines>0</Lines>
  <Paragraphs>0</Paragraphs>
  <TotalTime>6</TotalTime>
  <ScaleCrop>false</ScaleCrop>
  <LinksUpToDate>false</LinksUpToDate>
  <CharactersWithSpaces>5258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2024-04-24T08:13:00Z</dcterms:created>
  <dc:creator>Administrator</dc:creator>
  <cp:lastModifiedBy>小壮</cp:lastModifiedBy>
  <cp:lastPrinted>2024-05-22T09:39:00Z</cp:lastPrinted>
  <dcterms:modified xsi:type="dcterms:W3CDTF">2024-05-28T01:51:24Z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168ED80DC6EA41328E5CA4A881864204_11</vt:lpwstr>
  </property>
</Properties>
</file>