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Times New Roman" w:cs="宋体"/>
          <w:b/>
          <w:bCs/>
          <w:color w:val="000000"/>
          <w:sz w:val="84"/>
          <w:szCs w:val="84"/>
        </w:rPr>
      </w:pPr>
    </w:p>
    <w:p>
      <w:pPr>
        <w:jc w:val="center"/>
        <w:rPr>
          <w:rFonts w:eastAsia="Times New Roman" w:cs="宋体"/>
          <w:b/>
          <w:bCs/>
          <w:color w:val="000000"/>
          <w:sz w:val="84"/>
          <w:szCs w:val="84"/>
        </w:rPr>
      </w:pPr>
    </w:p>
    <w:p>
      <w:pPr>
        <w:pStyle w:val="10"/>
        <w:rPr>
          <w:rFonts w:eastAsia="Times New Roman" w:cs="宋体"/>
          <w:b/>
          <w:bCs/>
          <w:color w:val="000000"/>
          <w:sz w:val="84"/>
          <w:szCs w:val="84"/>
        </w:rPr>
      </w:pPr>
    </w:p>
    <w:p/>
    <w:p>
      <w:pPr>
        <w:pStyle w:val="10"/>
      </w:pPr>
    </w:p>
    <w:p>
      <w:pPr>
        <w:jc w:val="center"/>
        <w:rPr>
          <w:rFonts w:hint="eastAsia" w:eastAsia="宋体"/>
          <w:b/>
          <w:bCs/>
          <w:color w:val="000000"/>
          <w:sz w:val="84"/>
          <w:szCs w:val="84"/>
          <w:lang w:eastAsia="zh-CN"/>
        </w:rPr>
      </w:pPr>
      <w:r>
        <w:rPr>
          <w:rFonts w:hint="eastAsia" w:ascii="宋体" w:hAnsi="宋体" w:cs="宋体"/>
          <w:b/>
          <w:bCs/>
          <w:color w:val="000000"/>
          <w:sz w:val="84"/>
          <w:szCs w:val="84"/>
        </w:rPr>
        <w:t>招标</w:t>
      </w:r>
      <w:r>
        <w:rPr>
          <w:rFonts w:hint="eastAsia" w:ascii="宋体" w:hAnsi="宋体" w:cs="宋体"/>
          <w:b/>
          <w:bCs/>
          <w:color w:val="000000"/>
          <w:sz w:val="84"/>
          <w:szCs w:val="84"/>
          <w:lang w:val="en-US" w:eastAsia="zh-CN"/>
        </w:rPr>
        <w:t>公告</w:t>
      </w:r>
    </w:p>
    <w:p>
      <w:pPr>
        <w:spacing w:line="360" w:lineRule="auto"/>
        <w:rPr>
          <w:rFonts w:eastAsia="Times New Roman"/>
          <w:b/>
          <w:bCs/>
          <w:color w:val="000000"/>
          <w:sz w:val="30"/>
          <w:szCs w:val="30"/>
        </w:rPr>
      </w:pPr>
    </w:p>
    <w:p>
      <w:pPr>
        <w:spacing w:line="360" w:lineRule="auto"/>
        <w:rPr>
          <w:rFonts w:eastAsia="Times New Roman"/>
          <w:b/>
          <w:bCs/>
          <w:color w:val="000000"/>
          <w:sz w:val="30"/>
          <w:szCs w:val="30"/>
        </w:rPr>
      </w:pPr>
    </w:p>
    <w:p>
      <w:pPr>
        <w:spacing w:line="360" w:lineRule="auto"/>
        <w:rPr>
          <w:rFonts w:eastAsia="Times New Roman"/>
          <w:b/>
          <w:bCs/>
          <w:color w:val="000000"/>
          <w:sz w:val="30"/>
          <w:szCs w:val="30"/>
        </w:rPr>
      </w:pPr>
    </w:p>
    <w:p>
      <w:pPr>
        <w:spacing w:line="360" w:lineRule="auto"/>
        <w:rPr>
          <w:rFonts w:eastAsia="Times New Roman"/>
          <w:b/>
          <w:bCs/>
          <w:color w:val="000000"/>
          <w:sz w:val="30"/>
          <w:szCs w:val="30"/>
        </w:rPr>
      </w:pPr>
    </w:p>
    <w:p>
      <w:pPr>
        <w:spacing w:line="360" w:lineRule="auto"/>
        <w:rPr>
          <w:rFonts w:eastAsia="Times New Roman"/>
          <w:b/>
          <w:bCs/>
          <w:color w:val="000000"/>
          <w:sz w:val="30"/>
          <w:szCs w:val="30"/>
        </w:rPr>
      </w:pPr>
    </w:p>
    <w:p>
      <w:pPr>
        <w:spacing w:line="360" w:lineRule="auto"/>
        <w:rPr>
          <w:b/>
          <w:bCs/>
          <w:color w:val="000000"/>
          <w:sz w:val="36"/>
          <w:szCs w:val="36"/>
        </w:rPr>
      </w:pPr>
      <w:r>
        <w:rPr>
          <w:rFonts w:hint="eastAsia" w:ascii="宋体" w:hAnsi="宋体" w:cs="宋体"/>
          <w:b/>
          <w:bCs/>
          <w:color w:val="000000"/>
          <w:sz w:val="36"/>
          <w:szCs w:val="36"/>
        </w:rPr>
        <w:t>项目编号：</w:t>
      </w:r>
      <w:r>
        <w:rPr>
          <w:rFonts w:hint="eastAsia" w:ascii="楷体_GB2312" w:hAnsi="楷体_GB2312" w:eastAsia="楷体_GB2312" w:cs="楷体_GB2312"/>
          <w:b/>
          <w:bCs/>
          <w:color w:val="000000"/>
          <w:sz w:val="36"/>
          <w:szCs w:val="36"/>
          <w:u w:val="single"/>
        </w:rPr>
        <w:t>院总编：</w:t>
      </w:r>
      <w:r>
        <w:rPr>
          <w:rFonts w:ascii="楷体_GB2312" w:hAnsi="楷体_GB2312" w:eastAsia="楷体_GB2312" w:cs="楷体_GB2312"/>
          <w:b/>
          <w:bCs/>
          <w:color w:val="000000"/>
          <w:sz w:val="36"/>
          <w:szCs w:val="36"/>
          <w:u w:val="single"/>
        </w:rPr>
        <w:t>20</w:t>
      </w:r>
      <w:r>
        <w:rPr>
          <w:rFonts w:hint="eastAsia" w:ascii="楷体_GB2312" w:hAnsi="楷体_GB2312" w:eastAsia="楷体_GB2312" w:cs="楷体_GB2312"/>
          <w:b/>
          <w:bCs/>
          <w:color w:val="000000"/>
          <w:sz w:val="36"/>
          <w:szCs w:val="36"/>
          <w:u w:val="single"/>
        </w:rPr>
        <w:t>2</w:t>
      </w:r>
      <w:r>
        <w:rPr>
          <w:rFonts w:hint="eastAsia" w:ascii="楷体_GB2312" w:hAnsi="楷体_GB2312" w:eastAsia="楷体_GB2312" w:cs="楷体_GB2312"/>
          <w:b/>
          <w:bCs/>
          <w:color w:val="000000"/>
          <w:sz w:val="36"/>
          <w:szCs w:val="36"/>
          <w:u w:val="single"/>
          <w:lang w:val="en-US" w:eastAsia="zh-CN"/>
        </w:rPr>
        <w:t>3</w:t>
      </w:r>
      <w:r>
        <w:rPr>
          <w:rFonts w:ascii="楷体_GB2312" w:hAnsi="楷体_GB2312" w:eastAsia="楷体_GB2312" w:cs="楷体_GB2312"/>
          <w:b/>
          <w:bCs/>
          <w:color w:val="000000"/>
          <w:sz w:val="36"/>
          <w:szCs w:val="36"/>
          <w:u w:val="single"/>
        </w:rPr>
        <w:t>-</w:t>
      </w:r>
      <w:r>
        <w:rPr>
          <w:rFonts w:hint="eastAsia" w:ascii="楷体_GB2312" w:hAnsi="楷体_GB2312" w:eastAsia="楷体_GB2312" w:cs="楷体_GB2312"/>
          <w:b/>
          <w:bCs/>
          <w:color w:val="000000"/>
          <w:sz w:val="36"/>
          <w:szCs w:val="36"/>
          <w:u w:val="single"/>
          <w:lang w:val="en-US" w:eastAsia="zh-CN"/>
        </w:rPr>
        <w:t>68</w:t>
      </w:r>
      <w:r>
        <w:rPr>
          <w:rFonts w:ascii="楷体_GB2312" w:hAnsi="楷体_GB2312" w:eastAsia="楷体_GB2312" w:cs="楷体_GB2312"/>
          <w:b/>
          <w:bCs/>
          <w:color w:val="000000"/>
          <w:sz w:val="36"/>
          <w:szCs w:val="36"/>
          <w:u w:val="single"/>
        </w:rPr>
        <w:t>#</w:t>
      </w:r>
    </w:p>
    <w:p>
      <w:pPr>
        <w:spacing w:line="360" w:lineRule="auto"/>
        <w:rPr>
          <w:rFonts w:ascii="楷体_GB2312" w:hAnsi="楷体_GB2312" w:eastAsia="楷体_GB2312" w:cs="楷体_GB2312"/>
          <w:b/>
          <w:bCs/>
          <w:color w:val="000000"/>
          <w:sz w:val="36"/>
          <w:szCs w:val="36"/>
          <w:u w:val="single"/>
        </w:rPr>
      </w:pPr>
      <w:r>
        <w:rPr>
          <w:rFonts w:hint="eastAsia" w:ascii="宋体" w:hAnsi="宋体" w:cs="宋体"/>
          <w:b/>
          <w:bCs/>
          <w:color w:val="000000"/>
          <w:sz w:val="36"/>
          <w:szCs w:val="36"/>
        </w:rPr>
        <w:t>项目名称：</w:t>
      </w:r>
      <w:r>
        <w:rPr>
          <w:rFonts w:hint="eastAsia" w:ascii="楷体_GB2312" w:hAnsi="楷体_GB2312" w:eastAsia="楷体_GB2312" w:cs="楷体_GB2312"/>
          <w:b/>
          <w:bCs/>
          <w:color w:val="000000"/>
          <w:sz w:val="36"/>
          <w:szCs w:val="36"/>
          <w:u w:val="single"/>
        </w:rPr>
        <w:t>202</w:t>
      </w:r>
      <w:r>
        <w:rPr>
          <w:rFonts w:hint="eastAsia" w:ascii="楷体_GB2312" w:hAnsi="楷体_GB2312" w:eastAsia="楷体_GB2312" w:cs="楷体_GB2312"/>
          <w:b/>
          <w:bCs/>
          <w:color w:val="000000"/>
          <w:sz w:val="36"/>
          <w:szCs w:val="36"/>
          <w:u w:val="single"/>
          <w:lang w:val="en-US" w:eastAsia="zh-CN"/>
        </w:rPr>
        <w:t>4</w:t>
      </w:r>
      <w:r>
        <w:rPr>
          <w:rFonts w:hint="eastAsia" w:ascii="楷体_GB2312" w:hAnsi="楷体_GB2312" w:eastAsia="楷体_GB2312" w:cs="楷体_GB2312"/>
          <w:b/>
          <w:bCs/>
          <w:color w:val="000000"/>
          <w:sz w:val="36"/>
          <w:szCs w:val="36"/>
          <w:u w:val="single"/>
        </w:rPr>
        <w:t>年教职工传统节日福利项目</w:t>
      </w:r>
    </w:p>
    <w:p>
      <w:pPr>
        <w:spacing w:line="360" w:lineRule="auto"/>
        <w:rPr>
          <w:rFonts w:eastAsia="Times New Roman" w:cs="宋体"/>
          <w:b/>
          <w:bCs/>
          <w:color w:val="000000"/>
          <w:sz w:val="36"/>
          <w:szCs w:val="36"/>
        </w:rPr>
      </w:pPr>
      <w:r>
        <w:rPr>
          <w:rFonts w:hint="eastAsia" w:ascii="宋体" w:hAnsi="宋体" w:cs="宋体"/>
          <w:b/>
          <w:bCs/>
          <w:color w:val="000000"/>
          <w:w w:val="120"/>
          <w:sz w:val="36"/>
          <w:szCs w:val="36"/>
          <w:lang w:eastAsia="zh-TW"/>
        </w:rPr>
        <w:t>招标人：</w:t>
      </w:r>
      <w:r>
        <w:rPr>
          <w:rFonts w:hint="eastAsia" w:ascii="楷体_GB2312" w:hAnsi="楷体_GB2312" w:eastAsia="楷体_GB2312" w:cs="楷体_GB2312"/>
          <w:b/>
          <w:bCs/>
          <w:color w:val="000000"/>
          <w:sz w:val="36"/>
          <w:szCs w:val="36"/>
          <w:u w:val="single"/>
          <w:lang w:eastAsia="zh-TW"/>
        </w:rPr>
        <w:t>江苏省盐城技师学院</w:t>
      </w:r>
    </w:p>
    <w:p>
      <w:pPr>
        <w:jc w:val="center"/>
        <w:rPr>
          <w:rFonts w:eastAsia="Times New Roman" w:cs="宋体"/>
          <w:b/>
          <w:bCs/>
          <w:color w:val="000000"/>
          <w:sz w:val="36"/>
          <w:szCs w:val="36"/>
          <w:lang w:eastAsia="zh-TW"/>
        </w:rPr>
      </w:pPr>
    </w:p>
    <w:p>
      <w:pPr>
        <w:jc w:val="center"/>
        <w:rPr>
          <w:rFonts w:eastAsia="Times New Roman" w:cs="宋体"/>
          <w:b/>
          <w:bCs/>
          <w:color w:val="000000"/>
          <w:sz w:val="36"/>
          <w:szCs w:val="36"/>
          <w:lang w:eastAsia="zh-TW"/>
        </w:rPr>
      </w:pPr>
    </w:p>
    <w:p>
      <w:pPr>
        <w:jc w:val="center"/>
        <w:rPr>
          <w:rFonts w:eastAsia="Times New Roman" w:cs="宋体"/>
          <w:b/>
          <w:bCs/>
          <w:color w:val="000000"/>
          <w:sz w:val="36"/>
          <w:szCs w:val="36"/>
          <w:lang w:eastAsia="zh-TW"/>
        </w:rPr>
      </w:pPr>
    </w:p>
    <w:p>
      <w:pPr>
        <w:jc w:val="center"/>
        <w:rPr>
          <w:rFonts w:cs="宋体"/>
          <w:b/>
          <w:bCs/>
          <w:color w:val="000000"/>
          <w:sz w:val="36"/>
          <w:szCs w:val="36"/>
        </w:rPr>
      </w:pPr>
    </w:p>
    <w:p>
      <w:pPr>
        <w:rPr>
          <w:rFonts w:eastAsia="Times New Roman" w:cs="宋体"/>
          <w:b/>
          <w:bCs/>
          <w:color w:val="000000"/>
          <w:sz w:val="36"/>
          <w:szCs w:val="36"/>
          <w:lang w:eastAsia="zh-TW"/>
        </w:rPr>
      </w:pPr>
    </w:p>
    <w:p>
      <w:pPr>
        <w:jc w:val="center"/>
        <w:rPr>
          <w:rFonts w:eastAsia="Times New Roman" w:cs="黑体"/>
          <w:color w:val="000000"/>
          <w:sz w:val="44"/>
          <w:szCs w:val="44"/>
        </w:rPr>
      </w:pPr>
      <w:r>
        <w:rPr>
          <w:rFonts w:ascii="楷体_GB2312" w:hAnsi="楷体_GB2312" w:eastAsia="楷体_GB2312" w:cs="楷体_GB2312"/>
          <w:b/>
          <w:bCs/>
          <w:color w:val="000000"/>
          <w:sz w:val="44"/>
          <w:szCs w:val="44"/>
        </w:rPr>
        <w:t>20</w:t>
      </w:r>
      <w:r>
        <w:rPr>
          <w:rFonts w:hint="eastAsia" w:ascii="楷体_GB2312" w:hAnsi="楷体_GB2312" w:eastAsia="楷体_GB2312" w:cs="楷体_GB2312"/>
          <w:b/>
          <w:bCs/>
          <w:color w:val="000000"/>
          <w:sz w:val="44"/>
          <w:szCs w:val="44"/>
        </w:rPr>
        <w:t>2</w:t>
      </w:r>
      <w:r>
        <w:rPr>
          <w:rFonts w:hint="eastAsia" w:ascii="楷体_GB2312" w:hAnsi="楷体_GB2312" w:eastAsia="楷体_GB2312" w:cs="楷体_GB2312"/>
          <w:b/>
          <w:bCs/>
          <w:color w:val="000000"/>
          <w:sz w:val="44"/>
          <w:szCs w:val="44"/>
          <w:lang w:val="en-US" w:eastAsia="zh-CN"/>
        </w:rPr>
        <w:t>3</w:t>
      </w:r>
      <w:r>
        <w:rPr>
          <w:rFonts w:hint="eastAsia" w:ascii="楷体_GB2312" w:hAnsi="楷体_GB2312" w:eastAsia="楷体_GB2312" w:cs="楷体_GB2312"/>
          <w:b/>
          <w:bCs/>
          <w:color w:val="000000"/>
          <w:sz w:val="44"/>
          <w:szCs w:val="44"/>
        </w:rPr>
        <w:t>年</w:t>
      </w:r>
      <w:r>
        <w:rPr>
          <w:rFonts w:hint="eastAsia" w:ascii="楷体_GB2312" w:hAnsi="楷体_GB2312" w:eastAsia="楷体_GB2312" w:cs="楷体_GB2312"/>
          <w:b/>
          <w:bCs/>
          <w:color w:val="000000"/>
          <w:sz w:val="44"/>
          <w:szCs w:val="44"/>
          <w:lang w:val="en-US" w:eastAsia="zh-CN"/>
        </w:rPr>
        <w:t>12</w:t>
      </w:r>
      <w:r>
        <w:rPr>
          <w:rFonts w:hint="eastAsia" w:ascii="楷体_GB2312" w:hAnsi="楷体_GB2312" w:eastAsia="楷体_GB2312" w:cs="楷体_GB2312"/>
          <w:b/>
          <w:bCs/>
          <w:color w:val="000000"/>
          <w:sz w:val="44"/>
          <w:szCs w:val="44"/>
        </w:rPr>
        <w:t>月</w:t>
      </w:r>
    </w:p>
    <w:p>
      <w:pPr>
        <w:jc w:val="center"/>
        <w:rPr>
          <w:rFonts w:cs="黑体"/>
          <w:color w:val="000000"/>
          <w:sz w:val="44"/>
          <w:szCs w:val="44"/>
        </w:rPr>
      </w:pPr>
    </w:p>
    <w:p>
      <w:pPr>
        <w:rPr>
          <w:rFonts w:cs="黑体"/>
          <w:color w:val="000000"/>
          <w:sz w:val="44"/>
          <w:szCs w:val="44"/>
        </w:rPr>
      </w:pPr>
    </w:p>
    <w:p>
      <w:pPr>
        <w:pStyle w:val="9"/>
        <w:rPr>
          <w:rFonts w:hint="eastAsia"/>
        </w:rPr>
      </w:pPr>
    </w:p>
    <w:p>
      <w:pPr>
        <w:pStyle w:val="9"/>
        <w:rPr>
          <w:rFonts w:hint="eastAsia"/>
        </w:rPr>
      </w:pPr>
    </w:p>
    <w:p>
      <w:pPr>
        <w:pStyle w:val="9"/>
        <w:rPr>
          <w:rFonts w:hint="eastAsia"/>
        </w:rPr>
      </w:pPr>
    </w:p>
    <w:p>
      <w:pPr>
        <w:spacing w:line="700" w:lineRule="exact"/>
        <w:jc w:val="center"/>
        <w:rPr>
          <w:rFonts w:eastAsia="Times New Roman"/>
          <w:b/>
          <w:bCs/>
          <w:color w:val="000000"/>
          <w:sz w:val="44"/>
        </w:rPr>
      </w:pPr>
      <w:r>
        <w:rPr>
          <w:rFonts w:hint="eastAsia" w:ascii="宋体" w:hAnsi="宋体" w:cs="宋体"/>
          <w:b/>
          <w:bCs/>
          <w:color w:val="000000"/>
          <w:sz w:val="44"/>
        </w:rPr>
        <w:t>提</w:t>
      </w:r>
      <w:r>
        <w:rPr>
          <w:rFonts w:eastAsia="Times New Roman"/>
          <w:b/>
          <w:bCs/>
          <w:color w:val="000000"/>
          <w:sz w:val="44"/>
        </w:rPr>
        <w:t xml:space="preserve">      </w:t>
      </w:r>
      <w:r>
        <w:rPr>
          <w:rFonts w:hint="eastAsia" w:ascii="宋体" w:hAnsi="宋体" w:cs="宋体"/>
          <w:b/>
          <w:bCs/>
          <w:color w:val="000000"/>
          <w:sz w:val="44"/>
        </w:rPr>
        <w:t>示</w:t>
      </w:r>
    </w:p>
    <w:p>
      <w:pPr>
        <w:spacing w:line="700" w:lineRule="exact"/>
        <w:jc w:val="center"/>
        <w:rPr>
          <w:rFonts w:eastAsia="Times New Roman"/>
          <w:color w:val="000000"/>
          <w:sz w:val="32"/>
          <w:szCs w:val="32"/>
        </w:rPr>
      </w:pPr>
    </w:p>
    <w:p>
      <w:pPr>
        <w:spacing w:line="560" w:lineRule="exact"/>
        <w:ind w:firstLine="420"/>
        <w:rPr>
          <w:rFonts w:eastAsia="Times New Roman" w:cs="仿宋_GB2312"/>
          <w:color w:val="000000"/>
          <w:sz w:val="28"/>
          <w:szCs w:val="28"/>
        </w:rPr>
      </w:pPr>
      <w:r>
        <w:rPr>
          <w:rFonts w:hint="eastAsia" w:ascii="宋体" w:hAnsi="宋体" w:cs="宋体"/>
          <w:color w:val="000000"/>
          <w:sz w:val="28"/>
          <w:szCs w:val="28"/>
        </w:rPr>
        <w:t>一、在签署投标文件和投标前，投标人须要阅读过《中华人民共和国政府采购法》、《中华人民共和国政府采购法实施条例》、《中华人民共和国招标投标法》、《中华人民共和国招标投标法实施条例》、《江苏省招标投标条例》等相关法律、法规、部门规章和文件，阅读过本招标文件，并知道享有的权利和承担的义务。</w:t>
      </w:r>
    </w:p>
    <w:p>
      <w:pPr>
        <w:spacing w:line="560" w:lineRule="exact"/>
        <w:ind w:firstLine="420"/>
        <w:rPr>
          <w:rFonts w:eastAsia="Times New Roman" w:cs="仿宋_GB2312"/>
          <w:color w:val="000000"/>
          <w:sz w:val="28"/>
          <w:szCs w:val="28"/>
        </w:rPr>
      </w:pPr>
      <w:r>
        <w:rPr>
          <w:rFonts w:hint="eastAsia" w:ascii="宋体" w:hAnsi="宋体" w:cs="宋体"/>
          <w:color w:val="000000"/>
          <w:sz w:val="28"/>
          <w:szCs w:val="28"/>
        </w:rPr>
        <w:t>二、投标人必须对其提交文件、证件、资料的真实性、有效性和合法性承担责任。</w:t>
      </w:r>
    </w:p>
    <w:p>
      <w:pPr>
        <w:spacing w:line="560" w:lineRule="exact"/>
        <w:ind w:firstLine="420"/>
        <w:rPr>
          <w:rFonts w:eastAsia="Times New Roman" w:cs="仿宋_GB2312"/>
          <w:color w:val="000000"/>
          <w:sz w:val="28"/>
          <w:szCs w:val="28"/>
        </w:rPr>
      </w:pPr>
      <w:r>
        <w:rPr>
          <w:rFonts w:hint="eastAsia" w:ascii="宋体" w:hAnsi="宋体" w:cs="宋体"/>
          <w:color w:val="000000"/>
          <w:sz w:val="28"/>
          <w:szCs w:val="28"/>
        </w:rPr>
        <w:t>三、投标人必须按照招标文件的要求详细填写和编制投标文件。</w:t>
      </w:r>
    </w:p>
    <w:p>
      <w:pPr>
        <w:spacing w:line="560" w:lineRule="exact"/>
        <w:ind w:firstLine="420"/>
        <w:rPr>
          <w:rFonts w:eastAsia="Times New Roman" w:cs="仿宋_GB2312"/>
          <w:color w:val="000000"/>
          <w:sz w:val="28"/>
          <w:szCs w:val="28"/>
        </w:rPr>
      </w:pPr>
      <w:r>
        <w:rPr>
          <w:rFonts w:hint="eastAsia" w:ascii="宋体" w:hAnsi="宋体" w:cs="宋体"/>
          <w:color w:val="000000"/>
          <w:sz w:val="28"/>
          <w:szCs w:val="28"/>
        </w:rPr>
        <w:t>四、招标人将按照本招标文件确定的时间、地点开标。投标人的法定代表人或其委托代理人必须按时参加开标会议并签字确认，否则不作为中标候选单位推荐。上述人员须持证明身份的有效证件以备核查，否则核查不清责任自负。</w:t>
      </w:r>
    </w:p>
    <w:p>
      <w:pPr>
        <w:spacing w:line="560" w:lineRule="exact"/>
        <w:ind w:firstLine="420"/>
        <w:rPr>
          <w:rFonts w:eastAsia="Times New Roman" w:cs="仿宋_GB2312"/>
          <w:color w:val="000000"/>
          <w:sz w:val="28"/>
          <w:szCs w:val="28"/>
        </w:rPr>
      </w:pPr>
      <w:r>
        <w:rPr>
          <w:rFonts w:hint="eastAsia" w:ascii="宋体" w:hAnsi="宋体" w:cs="宋体"/>
          <w:color w:val="000000"/>
          <w:sz w:val="28"/>
          <w:szCs w:val="28"/>
        </w:rPr>
        <w:t>五、招标人：江苏省盐城技师学院</w:t>
      </w:r>
    </w:p>
    <w:p>
      <w:pPr>
        <w:spacing w:line="560" w:lineRule="exact"/>
        <w:ind w:firstLine="420"/>
        <w:rPr>
          <w:rFonts w:eastAsia="Times New Roman" w:cs="仿宋_GB2312"/>
          <w:color w:val="000000"/>
          <w:sz w:val="28"/>
          <w:szCs w:val="28"/>
        </w:rPr>
      </w:pPr>
      <w:r>
        <w:rPr>
          <w:rFonts w:hint="eastAsia" w:ascii="宋体" w:hAnsi="宋体" w:cs="宋体"/>
          <w:color w:val="000000"/>
          <w:sz w:val="28"/>
          <w:szCs w:val="28"/>
        </w:rPr>
        <w:t>联系人：杨老师</w:t>
      </w:r>
      <w:r>
        <w:rPr>
          <w:rFonts w:eastAsia="Times New Roman" w:cs="仿宋_GB2312"/>
          <w:color w:val="000000"/>
          <w:sz w:val="28"/>
          <w:szCs w:val="28"/>
        </w:rPr>
        <w:t>0515—68661002</w:t>
      </w:r>
    </w:p>
    <w:p>
      <w:pPr>
        <w:spacing w:line="600" w:lineRule="exact"/>
        <w:ind w:firstLine="742"/>
        <w:rPr>
          <w:rFonts w:eastAsia="Times New Roman"/>
          <w:color w:val="000000"/>
          <w:szCs w:val="32"/>
        </w:rPr>
      </w:pPr>
    </w:p>
    <w:p>
      <w:pPr>
        <w:spacing w:line="600" w:lineRule="exact"/>
        <w:ind w:firstLine="742"/>
        <w:rPr>
          <w:rFonts w:eastAsia="Times New Roman"/>
          <w:color w:val="000000"/>
          <w:szCs w:val="32"/>
        </w:rPr>
      </w:pPr>
    </w:p>
    <w:p>
      <w:pPr>
        <w:spacing w:line="600" w:lineRule="exact"/>
        <w:ind w:firstLine="742"/>
        <w:rPr>
          <w:rFonts w:eastAsia="Times New Roman"/>
          <w:color w:val="000000"/>
          <w:szCs w:val="32"/>
        </w:rPr>
      </w:pPr>
    </w:p>
    <w:p>
      <w:pPr>
        <w:spacing w:line="600" w:lineRule="exact"/>
        <w:ind w:firstLine="742"/>
        <w:rPr>
          <w:rFonts w:eastAsia="Times New Roman"/>
          <w:color w:val="000000"/>
          <w:szCs w:val="32"/>
        </w:rPr>
      </w:pPr>
    </w:p>
    <w:p>
      <w:pPr>
        <w:spacing w:line="600" w:lineRule="exact"/>
        <w:ind w:firstLine="742"/>
        <w:rPr>
          <w:rFonts w:eastAsia="Times New Roman"/>
          <w:color w:val="000000"/>
          <w:szCs w:val="32"/>
        </w:rPr>
      </w:pPr>
    </w:p>
    <w:p>
      <w:pPr>
        <w:rPr>
          <w:color w:val="000000"/>
        </w:rPr>
        <w:sectPr>
          <w:endnotePr>
            <w:numFmt w:val="decimal"/>
          </w:endnotePr>
          <w:pgSz w:w="11906" w:h="16838"/>
          <w:pgMar w:top="1440" w:right="1800" w:bottom="1440" w:left="1800" w:header="720" w:footer="720" w:gutter="0"/>
          <w:cols w:space="720" w:num="1"/>
        </w:sectPr>
      </w:pPr>
    </w:p>
    <w:p>
      <w:pPr>
        <w:tabs>
          <w:tab w:val="left" w:pos="2600"/>
        </w:tabs>
        <w:spacing w:before="156" w:after="156"/>
        <w:jc w:val="center"/>
        <w:rPr>
          <w:rFonts w:eastAsia="Times New Roman"/>
          <w:b/>
          <w:bCs/>
          <w:color w:val="000000"/>
          <w:sz w:val="44"/>
        </w:rPr>
      </w:pPr>
      <w:r>
        <w:rPr>
          <w:rFonts w:hint="eastAsia" w:ascii="宋体" w:hAnsi="宋体" w:cs="宋体"/>
          <w:b/>
          <w:bCs/>
          <w:color w:val="000000"/>
          <w:sz w:val="44"/>
        </w:rPr>
        <w:t>第一部分</w:t>
      </w:r>
      <w:r>
        <w:rPr>
          <w:rFonts w:eastAsia="Times New Roman"/>
          <w:b/>
          <w:bCs/>
          <w:color w:val="000000"/>
          <w:sz w:val="44"/>
        </w:rPr>
        <w:t xml:space="preserve">  </w:t>
      </w:r>
      <w:r>
        <w:rPr>
          <w:rFonts w:hint="eastAsia" w:ascii="宋体" w:hAnsi="宋体" w:cs="宋体"/>
          <w:b/>
          <w:bCs/>
          <w:color w:val="000000"/>
          <w:sz w:val="44"/>
        </w:rPr>
        <w:t>招标公告</w:t>
      </w:r>
    </w:p>
    <w:p>
      <w:pPr>
        <w:spacing w:line="560" w:lineRule="exact"/>
        <w:ind w:firstLine="56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根据《中华人民共和国政府采购法》等法律、法规的规定，现就</w:t>
      </w:r>
      <w:r>
        <w:rPr>
          <w:rFonts w:hint="eastAsia" w:ascii="仿宋_GB2312" w:hAnsi="仿宋_GB2312" w:eastAsia="仿宋_GB2312" w:cs="仿宋_GB2312"/>
          <w:color w:val="000000"/>
          <w:sz w:val="28"/>
          <w:szCs w:val="28"/>
          <w:u w:val="single"/>
        </w:rPr>
        <w:t>202</w:t>
      </w:r>
      <w:r>
        <w:rPr>
          <w:rFonts w:hint="eastAsia" w:ascii="仿宋_GB2312" w:hAnsi="仿宋_GB2312" w:eastAsia="仿宋_GB2312" w:cs="仿宋_GB2312"/>
          <w:color w:val="000000"/>
          <w:sz w:val="28"/>
          <w:szCs w:val="28"/>
          <w:u w:val="single"/>
          <w:lang w:val="en-US" w:eastAsia="zh-CN"/>
        </w:rPr>
        <w:t>4</w:t>
      </w:r>
      <w:r>
        <w:rPr>
          <w:rFonts w:hint="eastAsia" w:ascii="仿宋_GB2312" w:hAnsi="仿宋_GB2312" w:eastAsia="仿宋_GB2312" w:cs="仿宋_GB2312"/>
          <w:color w:val="000000"/>
          <w:sz w:val="28"/>
          <w:szCs w:val="28"/>
          <w:u w:val="single"/>
        </w:rPr>
        <w:t>年教职工传统节日福利项目</w:t>
      </w:r>
      <w:r>
        <w:rPr>
          <w:rFonts w:hint="eastAsia" w:ascii="仿宋_GB2312" w:hAnsi="仿宋_GB2312" w:eastAsia="仿宋_GB2312" w:cs="仿宋_GB2312"/>
          <w:color w:val="000000"/>
          <w:sz w:val="28"/>
          <w:szCs w:val="28"/>
        </w:rPr>
        <w:t>进行</w:t>
      </w:r>
      <w:r>
        <w:rPr>
          <w:rFonts w:hint="eastAsia" w:ascii="仿宋_GB2312" w:hAnsi="仿宋_GB2312" w:eastAsia="仿宋_GB2312" w:cs="仿宋_GB2312"/>
          <w:color w:val="000000"/>
          <w:sz w:val="28"/>
          <w:szCs w:val="28"/>
          <w:u w:val="single"/>
        </w:rPr>
        <w:t>公开招标</w:t>
      </w:r>
      <w:r>
        <w:rPr>
          <w:rFonts w:hint="eastAsia" w:ascii="仿宋_GB2312" w:hAnsi="仿宋_GB2312" w:eastAsia="仿宋_GB2312" w:cs="仿宋_GB2312"/>
          <w:color w:val="000000"/>
          <w:sz w:val="28"/>
          <w:szCs w:val="28"/>
        </w:rPr>
        <w:t>采购，欢迎合格的潜在投标人参加投标。</w:t>
      </w:r>
    </w:p>
    <w:p>
      <w:pPr>
        <w:spacing w:line="560" w:lineRule="exact"/>
        <w:ind w:firstLine="562"/>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一、招标项目</w:t>
      </w:r>
    </w:p>
    <w:tbl>
      <w:tblPr>
        <w:tblStyle w:val="11"/>
        <w:tblW w:w="97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8"/>
        <w:gridCol w:w="3109"/>
        <w:gridCol w:w="2387"/>
        <w:gridCol w:w="940"/>
        <w:gridCol w:w="21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8" w:type="dxa"/>
            <w:vAlign w:val="center"/>
          </w:tcPr>
          <w:p>
            <w:pPr>
              <w:snapToGrid w:val="0"/>
              <w:spacing w:line="5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标段</w:t>
            </w:r>
          </w:p>
        </w:tc>
        <w:tc>
          <w:tcPr>
            <w:tcW w:w="3109" w:type="dxa"/>
            <w:vAlign w:val="center"/>
          </w:tcPr>
          <w:p>
            <w:pPr>
              <w:snapToGrid w:val="0"/>
              <w:spacing w:line="5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项目</w:t>
            </w:r>
          </w:p>
        </w:tc>
        <w:tc>
          <w:tcPr>
            <w:tcW w:w="2387" w:type="dxa"/>
            <w:vAlign w:val="center"/>
          </w:tcPr>
          <w:p>
            <w:pPr>
              <w:snapToGrid w:val="0"/>
              <w:spacing w:line="5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规格</w:t>
            </w:r>
          </w:p>
        </w:tc>
        <w:tc>
          <w:tcPr>
            <w:tcW w:w="940" w:type="dxa"/>
            <w:vAlign w:val="center"/>
          </w:tcPr>
          <w:p>
            <w:pPr>
              <w:snapToGrid w:val="0"/>
              <w:spacing w:line="500" w:lineRule="exact"/>
              <w:jc w:val="center"/>
              <w:rPr>
                <w:rFonts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数量</w:t>
            </w:r>
          </w:p>
          <w:p>
            <w:pPr>
              <w:snapToGrid w:val="0"/>
              <w:spacing w:line="50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bCs/>
                <w:color w:val="000000"/>
                <w:sz w:val="24"/>
                <w:szCs w:val="24"/>
              </w:rPr>
              <w:t>（份）</w:t>
            </w:r>
          </w:p>
        </w:tc>
        <w:tc>
          <w:tcPr>
            <w:tcW w:w="2149" w:type="dxa"/>
            <w:vAlign w:val="center"/>
          </w:tcPr>
          <w:p>
            <w:pPr>
              <w:snapToGrid w:val="0"/>
              <w:spacing w:line="5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b/>
                <w:color w:val="00000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8" w:type="dxa"/>
            <w:vAlign w:val="center"/>
          </w:tcPr>
          <w:p>
            <w:pPr>
              <w:snapToGrid w:val="0"/>
              <w:spacing w:line="500" w:lineRule="exact"/>
              <w:jc w:val="center"/>
              <w:rPr>
                <w:rFonts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标段</w:t>
            </w:r>
            <w:r>
              <w:rPr>
                <w:rFonts w:ascii="仿宋_GB2312" w:hAnsi="仿宋_GB2312" w:eastAsia="仿宋_GB2312" w:cs="仿宋_GB2312"/>
                <w:b/>
                <w:bCs/>
                <w:color w:val="000000"/>
                <w:sz w:val="24"/>
                <w:szCs w:val="24"/>
              </w:rPr>
              <w:t>1</w:t>
            </w:r>
          </w:p>
        </w:tc>
        <w:tc>
          <w:tcPr>
            <w:tcW w:w="3109" w:type="dxa"/>
            <w:vAlign w:val="center"/>
          </w:tcPr>
          <w:p>
            <w:pPr>
              <w:snapToGrid w:val="0"/>
              <w:spacing w:line="500" w:lineRule="exact"/>
              <w:rPr>
                <w:rFonts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202</w:t>
            </w:r>
            <w:r>
              <w:rPr>
                <w:rFonts w:hint="eastAsia" w:ascii="仿宋_GB2312" w:hAnsi="仿宋_GB2312" w:eastAsia="仿宋_GB2312" w:cs="仿宋_GB2312"/>
                <w:b/>
                <w:bCs/>
                <w:color w:val="000000"/>
                <w:sz w:val="24"/>
                <w:szCs w:val="24"/>
                <w:lang w:val="en-US" w:eastAsia="zh-CN"/>
              </w:rPr>
              <w:t>4</w:t>
            </w:r>
            <w:r>
              <w:rPr>
                <w:rFonts w:hint="eastAsia" w:ascii="仿宋_GB2312" w:hAnsi="仿宋_GB2312" w:eastAsia="仿宋_GB2312" w:cs="仿宋_GB2312"/>
                <w:b/>
                <w:bCs/>
                <w:color w:val="000000"/>
                <w:sz w:val="24"/>
                <w:szCs w:val="24"/>
              </w:rPr>
              <w:t>年端午节福利</w:t>
            </w:r>
            <w:r>
              <w:rPr>
                <w:rFonts w:hint="eastAsia" w:ascii="仿宋_GB2312" w:hAnsi="仿宋_GB2312" w:eastAsia="仿宋_GB2312" w:cs="仿宋_GB2312"/>
                <w:color w:val="000000"/>
                <w:sz w:val="24"/>
                <w:szCs w:val="24"/>
              </w:rPr>
              <w:t>：中国传统节日习惯的用品和职工群众必须的生活用品</w:t>
            </w:r>
          </w:p>
        </w:tc>
        <w:tc>
          <w:tcPr>
            <w:tcW w:w="2387" w:type="dxa"/>
            <w:vAlign w:val="center"/>
          </w:tcPr>
          <w:p>
            <w:pPr>
              <w:snapToGrid w:val="0"/>
              <w:spacing w:line="400" w:lineRule="exac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结算价格400元</w:t>
            </w:r>
            <w:r>
              <w:rPr>
                <w:rFonts w:ascii="仿宋_GB2312" w:hAnsi="仿宋_GB2312" w:eastAsia="仿宋_GB2312" w:cs="仿宋_GB2312"/>
                <w:color w:val="000000"/>
                <w:sz w:val="24"/>
                <w:szCs w:val="24"/>
              </w:rPr>
              <w:t>/</w:t>
            </w:r>
            <w:r>
              <w:rPr>
                <w:rFonts w:hint="eastAsia" w:ascii="仿宋_GB2312" w:hAnsi="仿宋_GB2312" w:eastAsia="仿宋_GB2312" w:cs="仿宋_GB2312"/>
                <w:color w:val="000000"/>
                <w:sz w:val="24"/>
                <w:szCs w:val="24"/>
              </w:rPr>
              <w:t>份</w:t>
            </w:r>
          </w:p>
        </w:tc>
        <w:tc>
          <w:tcPr>
            <w:tcW w:w="940" w:type="dxa"/>
            <w:vAlign w:val="center"/>
          </w:tcPr>
          <w:p>
            <w:pPr>
              <w:snapToGrid w:val="0"/>
              <w:spacing w:line="500" w:lineRule="exact"/>
              <w:jc w:val="center"/>
              <w:rPr>
                <w:rFonts w:hint="default" w:ascii="仿宋_GB2312" w:hAnsi="仿宋_GB2312" w:eastAsia="仿宋_GB2312" w:cs="仿宋_GB2312"/>
                <w:b/>
                <w:color w:val="000000"/>
                <w:sz w:val="24"/>
                <w:szCs w:val="24"/>
                <w:lang w:val="en-US" w:eastAsia="zh-CN"/>
              </w:rPr>
            </w:pPr>
            <w:r>
              <w:rPr>
                <w:rFonts w:hint="eastAsia" w:ascii="仿宋_GB2312" w:hAnsi="仿宋_GB2312" w:eastAsia="仿宋_GB2312" w:cs="仿宋_GB2312"/>
                <w:b/>
                <w:color w:val="000000"/>
                <w:sz w:val="24"/>
                <w:szCs w:val="24"/>
                <w:lang w:val="en-US" w:eastAsia="zh-CN"/>
              </w:rPr>
              <w:t>828</w:t>
            </w:r>
          </w:p>
        </w:tc>
        <w:tc>
          <w:tcPr>
            <w:tcW w:w="2149" w:type="dxa"/>
            <w:vAlign w:val="center"/>
          </w:tcPr>
          <w:p>
            <w:pPr>
              <w:snapToGrid w:val="0"/>
              <w:spacing w:line="500" w:lineRule="exac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食品、日用品等生活用品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8" w:type="dxa"/>
            <w:vAlign w:val="center"/>
          </w:tcPr>
          <w:p>
            <w:pPr>
              <w:snapToGrid w:val="0"/>
              <w:spacing w:line="500" w:lineRule="exact"/>
              <w:jc w:val="center"/>
              <w:rPr>
                <w:rFonts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标段2</w:t>
            </w:r>
          </w:p>
        </w:tc>
        <w:tc>
          <w:tcPr>
            <w:tcW w:w="3109" w:type="dxa"/>
            <w:vAlign w:val="center"/>
          </w:tcPr>
          <w:p>
            <w:pPr>
              <w:snapToGrid w:val="0"/>
              <w:spacing w:line="500" w:lineRule="exact"/>
              <w:rPr>
                <w:rFonts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202</w:t>
            </w:r>
            <w:r>
              <w:rPr>
                <w:rFonts w:hint="eastAsia" w:ascii="仿宋_GB2312" w:hAnsi="仿宋_GB2312" w:eastAsia="仿宋_GB2312" w:cs="仿宋_GB2312"/>
                <w:b/>
                <w:bCs/>
                <w:color w:val="000000"/>
                <w:sz w:val="24"/>
                <w:szCs w:val="24"/>
                <w:lang w:val="en-US" w:eastAsia="zh-CN"/>
              </w:rPr>
              <w:t>4</w:t>
            </w:r>
            <w:r>
              <w:rPr>
                <w:rFonts w:hint="eastAsia" w:ascii="仿宋_GB2312" w:hAnsi="仿宋_GB2312" w:eastAsia="仿宋_GB2312" w:cs="仿宋_GB2312"/>
                <w:b/>
                <w:bCs/>
                <w:color w:val="000000"/>
                <w:sz w:val="24"/>
                <w:szCs w:val="24"/>
              </w:rPr>
              <w:t>年中秋节福利：</w:t>
            </w:r>
            <w:r>
              <w:rPr>
                <w:rFonts w:hint="eastAsia" w:ascii="仿宋_GB2312" w:hAnsi="仿宋_GB2312" w:eastAsia="仿宋_GB2312" w:cs="仿宋_GB2312"/>
                <w:color w:val="000000"/>
                <w:sz w:val="24"/>
                <w:szCs w:val="24"/>
              </w:rPr>
              <w:t>中国传统节日习惯的用品和职工群众必须的生活用品</w:t>
            </w:r>
          </w:p>
        </w:tc>
        <w:tc>
          <w:tcPr>
            <w:tcW w:w="2387" w:type="dxa"/>
            <w:vAlign w:val="center"/>
          </w:tcPr>
          <w:p>
            <w:pPr>
              <w:snapToGrid w:val="0"/>
              <w:spacing w:line="400" w:lineRule="exac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结算价格400元</w:t>
            </w:r>
            <w:r>
              <w:rPr>
                <w:rFonts w:ascii="仿宋_GB2312" w:hAnsi="仿宋_GB2312" w:eastAsia="仿宋_GB2312" w:cs="仿宋_GB2312"/>
                <w:color w:val="000000"/>
                <w:sz w:val="24"/>
                <w:szCs w:val="24"/>
              </w:rPr>
              <w:t>/</w:t>
            </w:r>
            <w:r>
              <w:rPr>
                <w:rFonts w:hint="eastAsia" w:ascii="仿宋_GB2312" w:hAnsi="仿宋_GB2312" w:eastAsia="仿宋_GB2312" w:cs="仿宋_GB2312"/>
                <w:color w:val="000000"/>
                <w:sz w:val="24"/>
                <w:szCs w:val="24"/>
              </w:rPr>
              <w:t>份</w:t>
            </w:r>
          </w:p>
        </w:tc>
        <w:tc>
          <w:tcPr>
            <w:tcW w:w="940" w:type="dxa"/>
            <w:vAlign w:val="center"/>
          </w:tcPr>
          <w:p>
            <w:pPr>
              <w:snapToGrid w:val="0"/>
              <w:spacing w:line="500" w:lineRule="exact"/>
              <w:jc w:val="center"/>
              <w:rPr>
                <w:rFonts w:hint="default" w:ascii="仿宋_GB2312" w:hAnsi="仿宋_GB2312" w:eastAsia="仿宋_GB2312" w:cs="仿宋_GB2312"/>
                <w:b/>
                <w:color w:val="000000"/>
                <w:sz w:val="24"/>
                <w:szCs w:val="24"/>
                <w:lang w:val="en-US" w:eastAsia="zh-CN"/>
              </w:rPr>
            </w:pPr>
            <w:r>
              <w:rPr>
                <w:rFonts w:hint="eastAsia" w:ascii="仿宋_GB2312" w:hAnsi="仿宋_GB2312" w:eastAsia="仿宋_GB2312" w:cs="仿宋_GB2312"/>
                <w:b/>
                <w:color w:val="000000"/>
                <w:sz w:val="24"/>
                <w:szCs w:val="24"/>
                <w:lang w:val="en-US" w:eastAsia="zh-CN"/>
              </w:rPr>
              <w:t>828</w:t>
            </w:r>
          </w:p>
        </w:tc>
        <w:tc>
          <w:tcPr>
            <w:tcW w:w="2149" w:type="dxa"/>
            <w:vAlign w:val="center"/>
          </w:tcPr>
          <w:p>
            <w:pPr>
              <w:snapToGrid w:val="0"/>
              <w:spacing w:line="500" w:lineRule="exac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食品、日用品等生活用品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8" w:type="dxa"/>
            <w:vAlign w:val="center"/>
          </w:tcPr>
          <w:p>
            <w:pPr>
              <w:snapToGrid w:val="0"/>
              <w:spacing w:line="500" w:lineRule="exact"/>
              <w:jc w:val="center"/>
              <w:rPr>
                <w:rFonts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标段3</w:t>
            </w:r>
          </w:p>
        </w:tc>
        <w:tc>
          <w:tcPr>
            <w:tcW w:w="3109" w:type="dxa"/>
            <w:vAlign w:val="center"/>
          </w:tcPr>
          <w:p>
            <w:pPr>
              <w:snapToGrid w:val="0"/>
              <w:spacing w:line="500" w:lineRule="exact"/>
              <w:rPr>
                <w:rFonts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202</w:t>
            </w:r>
            <w:r>
              <w:rPr>
                <w:rFonts w:hint="eastAsia" w:ascii="仿宋_GB2312" w:hAnsi="仿宋_GB2312" w:eastAsia="仿宋_GB2312" w:cs="仿宋_GB2312"/>
                <w:b/>
                <w:bCs/>
                <w:color w:val="000000"/>
                <w:sz w:val="24"/>
                <w:szCs w:val="24"/>
                <w:lang w:val="en-US" w:eastAsia="zh-CN"/>
              </w:rPr>
              <w:t>4</w:t>
            </w:r>
            <w:r>
              <w:rPr>
                <w:rFonts w:hint="eastAsia" w:ascii="仿宋_GB2312" w:hAnsi="仿宋_GB2312" w:eastAsia="仿宋_GB2312" w:cs="仿宋_GB2312"/>
                <w:b/>
                <w:bCs/>
                <w:color w:val="000000"/>
                <w:sz w:val="24"/>
                <w:szCs w:val="24"/>
              </w:rPr>
              <w:t>年春节福利：</w:t>
            </w:r>
            <w:r>
              <w:rPr>
                <w:rFonts w:hint="eastAsia" w:ascii="仿宋_GB2312" w:hAnsi="仿宋_GB2312" w:eastAsia="仿宋_GB2312" w:cs="仿宋_GB2312"/>
                <w:color w:val="000000"/>
                <w:sz w:val="24"/>
                <w:szCs w:val="24"/>
              </w:rPr>
              <w:t>中国传统节日习惯的用品和职工群众必须的生活用品</w:t>
            </w:r>
          </w:p>
        </w:tc>
        <w:tc>
          <w:tcPr>
            <w:tcW w:w="2387" w:type="dxa"/>
            <w:vAlign w:val="center"/>
          </w:tcPr>
          <w:p>
            <w:pPr>
              <w:snapToGrid w:val="0"/>
              <w:spacing w:line="400" w:lineRule="exact"/>
              <w:rPr>
                <w:rFonts w:ascii="仿宋_GB2312" w:hAnsi="仿宋_GB2312" w:eastAsia="仿宋_GB2312" w:cs="仿宋_GB2312"/>
                <w:b/>
                <w:bCs/>
                <w:color w:val="000000"/>
                <w:sz w:val="24"/>
                <w:szCs w:val="24"/>
              </w:rPr>
            </w:pPr>
            <w:r>
              <w:rPr>
                <w:rFonts w:hint="eastAsia" w:ascii="仿宋_GB2312" w:hAnsi="仿宋_GB2312" w:eastAsia="仿宋_GB2312" w:cs="仿宋_GB2312"/>
                <w:color w:val="000000"/>
                <w:sz w:val="24"/>
                <w:szCs w:val="24"/>
              </w:rPr>
              <w:t>结算价格1000元</w:t>
            </w:r>
            <w:r>
              <w:rPr>
                <w:rFonts w:ascii="仿宋_GB2312" w:hAnsi="仿宋_GB2312" w:eastAsia="仿宋_GB2312" w:cs="仿宋_GB2312"/>
                <w:color w:val="000000"/>
                <w:sz w:val="24"/>
                <w:szCs w:val="24"/>
              </w:rPr>
              <w:t>/</w:t>
            </w:r>
            <w:r>
              <w:rPr>
                <w:rFonts w:hint="eastAsia" w:ascii="仿宋_GB2312" w:hAnsi="仿宋_GB2312" w:eastAsia="仿宋_GB2312" w:cs="仿宋_GB2312"/>
                <w:color w:val="000000"/>
                <w:sz w:val="24"/>
                <w:szCs w:val="24"/>
              </w:rPr>
              <w:t>份</w:t>
            </w:r>
          </w:p>
        </w:tc>
        <w:tc>
          <w:tcPr>
            <w:tcW w:w="940" w:type="dxa"/>
            <w:vAlign w:val="center"/>
          </w:tcPr>
          <w:p>
            <w:pPr>
              <w:snapToGrid w:val="0"/>
              <w:spacing w:line="500" w:lineRule="exact"/>
              <w:jc w:val="center"/>
              <w:rPr>
                <w:rFonts w:hint="default" w:ascii="仿宋_GB2312" w:hAnsi="仿宋_GB2312" w:eastAsia="仿宋_GB2312" w:cs="仿宋_GB2312"/>
                <w:b/>
                <w:color w:val="000000"/>
                <w:sz w:val="24"/>
                <w:szCs w:val="24"/>
                <w:lang w:val="en-US" w:eastAsia="zh-CN"/>
              </w:rPr>
            </w:pPr>
            <w:r>
              <w:rPr>
                <w:rFonts w:hint="eastAsia" w:ascii="仿宋_GB2312" w:hAnsi="仿宋_GB2312" w:eastAsia="仿宋_GB2312" w:cs="仿宋_GB2312"/>
                <w:b/>
                <w:color w:val="000000"/>
                <w:sz w:val="24"/>
                <w:szCs w:val="24"/>
                <w:lang w:val="en-US" w:eastAsia="zh-CN"/>
              </w:rPr>
              <w:t>828</w:t>
            </w:r>
          </w:p>
        </w:tc>
        <w:tc>
          <w:tcPr>
            <w:tcW w:w="2149" w:type="dxa"/>
            <w:vAlign w:val="center"/>
          </w:tcPr>
          <w:p>
            <w:pPr>
              <w:snapToGrid w:val="0"/>
              <w:spacing w:line="500" w:lineRule="exac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食品、日用品等生活用品</w:t>
            </w:r>
          </w:p>
        </w:tc>
      </w:tr>
    </w:tbl>
    <w:p>
      <w:pPr>
        <w:spacing w:line="560" w:lineRule="exact"/>
        <w:ind w:firstLine="420"/>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备注：（请投标人认真仔细阅读）</w:t>
      </w:r>
    </w:p>
    <w:p>
      <w:pPr>
        <w:snapToGrid w:val="0"/>
        <w:spacing w:line="560" w:lineRule="exact"/>
        <w:ind w:firstLine="482" w:firstLineChars="150"/>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1、本项目分为3个标段，投标人可以选择其中一个标段或多个标段投标，兼投兼中，多标段投标的投标人需分标段制作和封装投标文件。</w:t>
      </w:r>
    </w:p>
    <w:p>
      <w:pPr>
        <w:snapToGrid w:val="0"/>
        <w:spacing w:line="560" w:lineRule="exact"/>
        <w:ind w:firstLine="422" w:firstLineChars="150"/>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2、预计</w:t>
      </w:r>
      <w:r>
        <w:rPr>
          <w:rFonts w:hint="eastAsia" w:ascii="仿宋_GB2312" w:hAnsi="仿宋_GB2312" w:eastAsia="仿宋_GB2312" w:cs="仿宋_GB2312"/>
          <w:b/>
          <w:bCs/>
          <w:color w:val="000000"/>
          <w:sz w:val="28"/>
          <w:szCs w:val="28"/>
          <w:lang w:val="en-US" w:eastAsia="zh-CN"/>
        </w:rPr>
        <w:t>828</w:t>
      </w:r>
      <w:r>
        <w:rPr>
          <w:rFonts w:hint="eastAsia" w:ascii="仿宋_GB2312" w:hAnsi="仿宋_GB2312" w:eastAsia="仿宋_GB2312" w:cs="仿宋_GB2312"/>
          <w:b/>
          <w:bCs/>
          <w:color w:val="000000"/>
          <w:sz w:val="28"/>
          <w:szCs w:val="28"/>
        </w:rPr>
        <w:t>份，按实结算。</w:t>
      </w:r>
    </w:p>
    <w:p>
      <w:pPr>
        <w:snapToGrid w:val="0"/>
        <w:spacing w:line="560" w:lineRule="exact"/>
        <w:ind w:firstLine="422" w:firstLineChars="150"/>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3、投标人提供的提货券面值应该在实际结算价上进行上浮，不接受低于或者等于实际结算价的投标报价。</w:t>
      </w:r>
    </w:p>
    <w:p>
      <w:pPr>
        <w:snapToGrid w:val="0"/>
        <w:spacing w:line="560" w:lineRule="exact"/>
        <w:ind w:firstLine="422" w:firstLineChars="150"/>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4、提货券必须在投标人所有的连锁经营店通用。</w:t>
      </w:r>
    </w:p>
    <w:p>
      <w:pPr>
        <w:snapToGrid w:val="0"/>
        <w:spacing w:line="560" w:lineRule="exact"/>
        <w:ind w:firstLine="422" w:firstLineChars="150"/>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5、本次招标，</w:t>
      </w:r>
      <w:r>
        <w:rPr>
          <w:rFonts w:hint="eastAsia" w:ascii="仿宋_GB2312" w:hAnsi="仿宋_GB2312" w:eastAsia="仿宋_GB2312" w:cs="仿宋_GB2312"/>
          <w:b/>
          <w:bCs/>
          <w:color w:val="000000"/>
          <w:sz w:val="28"/>
          <w:szCs w:val="28"/>
          <w:lang w:val="en-US" w:eastAsia="zh-CN"/>
        </w:rPr>
        <w:t>根据</w:t>
      </w:r>
      <w:r>
        <w:rPr>
          <w:rFonts w:hint="eastAsia" w:ascii="仿宋_GB2312" w:hAnsi="仿宋_GB2312" w:eastAsia="仿宋_GB2312" w:cs="仿宋_GB2312"/>
          <w:b/>
          <w:bCs/>
          <w:color w:val="000000"/>
          <w:sz w:val="28"/>
          <w:szCs w:val="28"/>
        </w:rPr>
        <w:t>每个标段</w:t>
      </w:r>
      <w:r>
        <w:rPr>
          <w:rFonts w:hint="eastAsia" w:ascii="仿宋_GB2312" w:hAnsi="仿宋_GB2312" w:eastAsia="仿宋_GB2312" w:cs="仿宋_GB2312"/>
          <w:b/>
          <w:bCs/>
          <w:color w:val="000000"/>
          <w:sz w:val="28"/>
          <w:szCs w:val="28"/>
          <w:lang w:val="en-US" w:eastAsia="zh-CN"/>
        </w:rPr>
        <w:t>获取文件的单位数量情况</w:t>
      </w:r>
      <w:r>
        <w:rPr>
          <w:rFonts w:hint="eastAsia" w:ascii="仿宋_GB2312" w:hAnsi="仿宋_GB2312" w:eastAsia="仿宋_GB2312" w:cs="仿宋_GB2312"/>
          <w:b/>
          <w:bCs/>
          <w:color w:val="000000"/>
          <w:sz w:val="28"/>
          <w:szCs w:val="28"/>
        </w:rPr>
        <w:t>，确定中标候选单位</w:t>
      </w:r>
      <w:r>
        <w:rPr>
          <w:rFonts w:hint="eastAsia" w:ascii="仿宋_GB2312" w:hAnsi="仿宋_GB2312" w:eastAsia="仿宋_GB2312" w:cs="仿宋_GB2312"/>
          <w:b/>
          <w:bCs/>
          <w:color w:val="000000"/>
          <w:sz w:val="28"/>
          <w:szCs w:val="28"/>
          <w:lang w:val="en-US" w:eastAsia="zh-CN"/>
        </w:rPr>
        <w:t>数量</w:t>
      </w:r>
      <w:r>
        <w:rPr>
          <w:rFonts w:hint="eastAsia" w:ascii="仿宋_GB2312" w:hAnsi="仿宋_GB2312" w:eastAsia="仿宋_GB2312" w:cs="仿宋_GB2312"/>
          <w:b/>
          <w:bCs/>
          <w:color w:val="000000"/>
          <w:sz w:val="28"/>
          <w:szCs w:val="28"/>
        </w:rPr>
        <w:t>；由我校教职工按中标报价自由选择，任何一方中标人都不得以实际提货券数量向招标人提出任何异议。</w:t>
      </w:r>
    </w:p>
    <w:p>
      <w:pPr>
        <w:spacing w:line="560" w:lineRule="exact"/>
        <w:ind w:firstLine="562" w:firstLineChars="200"/>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二、投标人须具备的资格条件（报名和开标时需携带资格条件中要求的复印件加盖公章，原件备查）</w:t>
      </w:r>
    </w:p>
    <w:p>
      <w:pPr>
        <w:spacing w:line="560" w:lineRule="exact"/>
        <w:ind w:firstLine="42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在中华人民共和国境内注册，符合《中华人民共和国政府招标法》第二十二条之规定。</w:t>
      </w:r>
    </w:p>
    <w:p>
      <w:pPr>
        <w:spacing w:line="560" w:lineRule="exact"/>
        <w:ind w:firstLine="42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投标人必须具有独立承担民事责任的能力的独立法人资格，具有营业执照。</w:t>
      </w:r>
    </w:p>
    <w:p>
      <w:pPr>
        <w:spacing w:line="560" w:lineRule="exact"/>
        <w:ind w:firstLine="42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b/>
          <w:bCs/>
          <w:color w:val="000000"/>
          <w:sz w:val="28"/>
          <w:szCs w:val="28"/>
        </w:rPr>
        <w:t>为盐城市区范围内的大型超市，在盐城市区有固定的经营场所</w:t>
      </w:r>
      <w:r>
        <w:rPr>
          <w:rFonts w:hint="eastAsia" w:ascii="仿宋_GB2312" w:hAnsi="仿宋_GB2312" w:eastAsia="仿宋_GB2312" w:cs="仿宋_GB2312"/>
          <w:color w:val="000000"/>
          <w:sz w:val="28"/>
          <w:szCs w:val="28"/>
        </w:rPr>
        <w:t>，有适应项目需要的专业技术人员，具备相关项目的供货能力和售后服务能力，具有良好的商业信誉和财务状况。</w:t>
      </w:r>
    </w:p>
    <w:p>
      <w:pPr>
        <w:spacing w:line="560" w:lineRule="exact"/>
        <w:ind w:firstLine="42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4</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提供参加本次政府采购活动前三年内，没有重大违法、违纪记录的声明；</w:t>
      </w:r>
    </w:p>
    <w:p>
      <w:pPr>
        <w:spacing w:line="560" w:lineRule="exact"/>
        <w:ind w:firstLine="42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5</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投标人</w:t>
      </w:r>
      <w:r>
        <w:rPr>
          <w:rFonts w:hint="eastAsia" w:ascii="仿宋_GB2312" w:hAnsi="仿宋_GB2312" w:eastAsia="仿宋_GB2312" w:cs="仿宋_GB2312"/>
          <w:b/>
          <w:bCs/>
          <w:color w:val="000000"/>
          <w:sz w:val="32"/>
          <w:szCs w:val="32"/>
        </w:rPr>
        <w:t>报名和开标时</w:t>
      </w:r>
      <w:r>
        <w:rPr>
          <w:rFonts w:hint="eastAsia" w:ascii="仿宋_GB2312" w:hAnsi="仿宋_GB2312" w:eastAsia="仿宋_GB2312" w:cs="仿宋_GB2312"/>
          <w:color w:val="000000"/>
          <w:sz w:val="28"/>
          <w:szCs w:val="28"/>
        </w:rPr>
        <w:t>必须携带有效期内</w:t>
      </w:r>
      <w:r>
        <w:rPr>
          <w:rFonts w:hint="eastAsia" w:ascii="仿宋_GB2312" w:hAnsi="仿宋_GB2312" w:eastAsia="仿宋_GB2312" w:cs="仿宋_GB2312"/>
          <w:b/>
          <w:bCs/>
          <w:color w:val="000000"/>
          <w:sz w:val="28"/>
          <w:szCs w:val="28"/>
          <w:u w:val="single"/>
        </w:rPr>
        <w:t>食品经营许可证或者有效期内食品流通许可证（复印件盖公章）、营业执照（复印件盖公章）、法定代表人（盖章）的授权委托书、法定代表人身份证复印件（盖单位公章）、法定代表人身份证原件（委托的就携带法定代表人授权的委托人的身份证原件，复印件盖单位公章）。</w:t>
      </w:r>
      <w:r>
        <w:rPr>
          <w:rFonts w:hint="eastAsia" w:ascii="仿宋_GB2312" w:hAnsi="仿宋_GB2312" w:eastAsia="仿宋_GB2312" w:cs="仿宋_GB2312"/>
          <w:b/>
          <w:bCs/>
          <w:color w:val="000000"/>
          <w:sz w:val="32"/>
          <w:szCs w:val="32"/>
        </w:rPr>
        <w:t>（原件备查）</w:t>
      </w:r>
    </w:p>
    <w:p>
      <w:pPr>
        <w:spacing w:line="560" w:lineRule="exact"/>
        <w:ind w:firstLine="42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6</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投标人未处于投标资格被取消或者财产被接管、冻结和破产状态；没有因骗取中标或严重违约以及发生重大质量、安全生产事故等问题被有关部门暂停投标资格并在暂停期内的。</w:t>
      </w:r>
    </w:p>
    <w:p>
      <w:pPr>
        <w:spacing w:line="560" w:lineRule="exact"/>
        <w:ind w:firstLine="56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7</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本项目不接受联合体投标，法定代表人为同一人或者存在直接控股、管理关系的不同投标人，不得同时参加本项目投标。</w:t>
      </w:r>
    </w:p>
    <w:p>
      <w:pPr>
        <w:spacing w:line="560" w:lineRule="exact"/>
        <w:ind w:firstLine="562"/>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三、招标内容及要求</w:t>
      </w:r>
    </w:p>
    <w:p>
      <w:pPr>
        <w:ind w:firstLine="56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．招标内容：中国传统节日习惯的用品和职工群众必须的生活用品（食品、日用品等生活用品）。</w:t>
      </w:r>
    </w:p>
    <w:p>
      <w:pPr>
        <w:spacing w:line="560" w:lineRule="exact"/>
        <w:ind w:firstLine="56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．质量标准：按国家质量认证体系标准，符合招标文件规定要求。</w:t>
      </w:r>
    </w:p>
    <w:p>
      <w:pPr>
        <w:spacing w:line="560" w:lineRule="exact"/>
        <w:ind w:firstLine="562"/>
        <w:rPr>
          <w:rFonts w:ascii="仿宋_GB2312" w:hAnsi="仿宋_GB2312" w:eastAsia="仿宋_GB2312" w:cs="仿宋_GB2312"/>
          <w:b/>
          <w:bCs/>
          <w:color w:val="000000"/>
          <w:sz w:val="28"/>
          <w:szCs w:val="28"/>
          <w:u w:val="single"/>
        </w:rPr>
      </w:pPr>
      <w:r>
        <w:rPr>
          <w:rFonts w:ascii="仿宋_GB2312" w:hAnsi="仿宋_GB2312" w:eastAsia="仿宋_GB2312" w:cs="仿宋_GB2312"/>
          <w:b/>
          <w:bCs/>
          <w:color w:val="000000"/>
          <w:sz w:val="28"/>
          <w:szCs w:val="28"/>
          <w:u w:val="single"/>
        </w:rPr>
        <w:t>3</w:t>
      </w:r>
      <w:r>
        <w:rPr>
          <w:rFonts w:hint="eastAsia" w:ascii="仿宋_GB2312" w:hAnsi="仿宋_GB2312" w:eastAsia="仿宋_GB2312" w:cs="仿宋_GB2312"/>
          <w:b/>
          <w:bCs/>
          <w:color w:val="000000"/>
          <w:sz w:val="28"/>
          <w:szCs w:val="28"/>
          <w:u w:val="single"/>
        </w:rPr>
        <w:t>．标段一、标段二预算金额：400元</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rPr>
        <w:t>份；标段三预算金额1000元/份。</w:t>
      </w:r>
    </w:p>
    <w:p>
      <w:pPr>
        <w:spacing w:line="560" w:lineRule="exact"/>
        <w:ind w:firstLine="562" w:firstLineChars="200"/>
        <w:rPr>
          <w:rFonts w:ascii="黑体" w:hAnsi="黑体" w:eastAsia="黑体"/>
          <w:b/>
          <w:bCs/>
          <w:sz w:val="28"/>
          <w:szCs w:val="28"/>
        </w:rPr>
      </w:pPr>
      <w:r>
        <w:rPr>
          <w:rFonts w:hint="eastAsia" w:ascii="黑体" w:hAnsi="黑体" w:eastAsia="黑体" w:cs="黑体"/>
          <w:b/>
          <w:bCs/>
          <w:sz w:val="28"/>
          <w:szCs w:val="28"/>
        </w:rPr>
        <w:t>四、获取招标文件、投标文件递交截止时间、开标时间及地点</w:t>
      </w:r>
    </w:p>
    <w:p>
      <w:pPr>
        <w:shd w:val="clear" w:color="auto" w:fill="FFFFFF"/>
        <w:spacing w:line="560" w:lineRule="exact"/>
        <w:ind w:firstLine="560" w:firstLineChars="200"/>
        <w:rPr>
          <w:rFonts w:ascii="仿宋_GB2312" w:hAnsi="仿宋_GB2312" w:eastAsia="仿宋_GB2312"/>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获取招标文件时间：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rPr>
        <w:t>2</w:t>
      </w:r>
      <w:r>
        <w:rPr>
          <w:rFonts w:hint="eastAsia" w:ascii="仿宋_GB2312" w:hAnsi="仿宋_GB2312" w:eastAsia="仿宋_GB2312" w:cs="仿宋_GB2312"/>
          <w:b/>
          <w:bCs/>
          <w:color w:val="000000"/>
          <w:sz w:val="28"/>
          <w:szCs w:val="28"/>
          <w:u w:val="single"/>
          <w:lang w:val="en-US" w:eastAsia="zh-CN"/>
        </w:rPr>
        <w:t>3</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12</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21</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 xml:space="preserve">— </w:t>
      </w:r>
      <w:r>
        <w:rPr>
          <w:rFonts w:hint="eastAsia" w:ascii="仿宋_GB2312" w:hAnsi="仿宋_GB2312" w:eastAsia="仿宋_GB2312" w:cs="仿宋_GB2312"/>
          <w:b/>
          <w:bCs/>
          <w:color w:val="000000"/>
          <w:sz w:val="28"/>
          <w:szCs w:val="28"/>
          <w:u w:val="single"/>
          <w:lang w:val="en-US" w:eastAsia="zh-CN"/>
        </w:rPr>
        <w:t>12</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27</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rPr>
        <w:t>30）；</w:t>
      </w:r>
    </w:p>
    <w:p>
      <w:pPr>
        <w:shd w:val="clear" w:color="auto" w:fill="FFFFFF"/>
        <w:spacing w:line="560" w:lineRule="exact"/>
        <w:ind w:firstLine="560" w:firstLineChars="200"/>
        <w:rPr>
          <w:rFonts w:hint="eastAsia" w:ascii="仿宋_GB2312" w:hAnsi="仿宋_GB2312" w:eastAsia="仿宋_GB2312"/>
          <w:color w:val="000000"/>
          <w:sz w:val="28"/>
          <w:szCs w:val="28"/>
          <w:lang w:eastAsia="zh-CN"/>
        </w:rPr>
      </w:pPr>
      <w:r>
        <w:rPr>
          <w:rFonts w:hint="eastAsia" w:ascii="仿宋_GB2312" w:hAnsi="仿宋_GB2312" w:eastAsia="仿宋_GB2312" w:cs="仿宋_GB2312"/>
          <w:color w:val="000000"/>
          <w:sz w:val="28"/>
          <w:szCs w:val="28"/>
        </w:rPr>
        <w:t>地点：盐城市盐都区海洋路29号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2</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eastAsia="zh-CN"/>
        </w:rPr>
        <w:t>。</w:t>
      </w:r>
    </w:p>
    <w:p>
      <w:pPr>
        <w:shd w:val="clear" w:color="auto" w:fill="FFFFFF"/>
        <w:spacing w:line="50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联系人：杨老师</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w:t>
      </w:r>
      <w:r>
        <w:rPr>
          <w:rFonts w:ascii="仿宋_GB2312" w:hAnsi="仿宋_GB2312" w:eastAsia="仿宋_GB2312" w:cs="仿宋_GB2312"/>
          <w:color w:val="000000"/>
          <w:sz w:val="28"/>
          <w:szCs w:val="28"/>
        </w:rPr>
        <w:t>/13770176940</w:t>
      </w:r>
    </w:p>
    <w:p>
      <w:pPr>
        <w:shd w:val="clear" w:color="auto" w:fill="FFFFFF"/>
        <w:spacing w:line="500" w:lineRule="exact"/>
        <w:ind w:firstLine="560" w:firstLineChars="200"/>
        <w:rPr>
          <w:rFonts w:ascii="仿宋_GB2312" w:hAnsi="仿宋_GB2312" w:eastAsia="仿宋_GB2312"/>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投标文件递交截止时间：</w:t>
      </w:r>
      <w:r>
        <w:rPr>
          <w:rFonts w:hint="eastAsia" w:ascii="仿宋_GB2312" w:hAnsi="仿宋_GB2312" w:eastAsia="仿宋_GB2312" w:cs="仿宋_GB2312"/>
          <w:b/>
          <w:color w:val="000000"/>
          <w:sz w:val="28"/>
          <w:szCs w:val="28"/>
          <w:u w:val="single"/>
        </w:rPr>
        <w:t>202</w:t>
      </w:r>
      <w:r>
        <w:rPr>
          <w:rFonts w:hint="eastAsia" w:ascii="仿宋_GB2312" w:hAnsi="仿宋_GB2312" w:eastAsia="仿宋_GB2312" w:cs="仿宋_GB2312"/>
          <w:b/>
          <w:color w:val="000000"/>
          <w:sz w:val="28"/>
          <w:szCs w:val="28"/>
          <w:u w:val="single"/>
          <w:lang w:val="en-US" w:eastAsia="zh-CN"/>
        </w:rPr>
        <w:t>3</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12</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29</w:t>
      </w:r>
      <w:r>
        <w:rPr>
          <w:rFonts w:hint="eastAsia" w:ascii="仿宋_GB2312" w:hAnsi="仿宋_GB2312" w:eastAsia="仿宋_GB2312" w:cs="仿宋_GB2312"/>
          <w:b/>
          <w:color w:val="000000"/>
          <w:sz w:val="28"/>
          <w:szCs w:val="28"/>
          <w:u w:val="single"/>
        </w:rPr>
        <w:t>日9时30分00秒；</w:t>
      </w:r>
    </w:p>
    <w:p>
      <w:pPr>
        <w:shd w:val="clear" w:color="auto" w:fill="FFFFFF"/>
        <w:spacing w:line="500" w:lineRule="exact"/>
        <w:ind w:firstLine="560" w:firstLineChars="200"/>
        <w:rPr>
          <w:rFonts w:ascii="仿宋_GB2312" w:hAnsi="仿宋_GB2312" w:eastAsia="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开标时间：</w:t>
      </w:r>
      <w:r>
        <w:rPr>
          <w:rFonts w:hint="eastAsia" w:ascii="仿宋_GB2312" w:hAnsi="仿宋_GB2312" w:eastAsia="仿宋_GB2312" w:cs="仿宋_GB2312"/>
          <w:b/>
          <w:color w:val="000000"/>
          <w:sz w:val="28"/>
          <w:szCs w:val="28"/>
          <w:u w:val="single"/>
        </w:rPr>
        <w:t>202</w:t>
      </w:r>
      <w:r>
        <w:rPr>
          <w:rFonts w:hint="eastAsia" w:ascii="仿宋_GB2312" w:hAnsi="仿宋_GB2312" w:eastAsia="仿宋_GB2312" w:cs="仿宋_GB2312"/>
          <w:b/>
          <w:color w:val="000000"/>
          <w:sz w:val="28"/>
          <w:szCs w:val="28"/>
          <w:u w:val="single"/>
          <w:lang w:val="en-US" w:eastAsia="zh-CN"/>
        </w:rPr>
        <w:t>3</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12</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29</w:t>
      </w:r>
      <w:r>
        <w:rPr>
          <w:rFonts w:hint="eastAsia" w:ascii="仿宋_GB2312" w:hAnsi="仿宋_GB2312" w:eastAsia="仿宋_GB2312" w:cs="仿宋_GB2312"/>
          <w:b/>
          <w:color w:val="000000"/>
          <w:sz w:val="28"/>
          <w:szCs w:val="28"/>
          <w:u w:val="single"/>
        </w:rPr>
        <w:t>日9时30分00秒；</w:t>
      </w:r>
    </w:p>
    <w:p>
      <w:pPr>
        <w:shd w:val="clear" w:color="auto" w:fill="FFFFFF"/>
        <w:spacing w:line="500" w:lineRule="exact"/>
        <w:ind w:firstLine="560" w:firstLineChars="200"/>
        <w:rPr>
          <w:rFonts w:ascii="仿宋_GB2312" w:hAnsi="仿宋_GB2312" w:eastAsia="仿宋_GB2312"/>
          <w:color w:val="000000"/>
          <w:sz w:val="28"/>
          <w:szCs w:val="28"/>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rPr>
        <w:t>投标文件递交及开标地点：盐城市盐都区海洋路29号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p>
    <w:p>
      <w:pPr>
        <w:adjustRightInd w:val="0"/>
        <w:snapToGrid w:val="0"/>
        <w:spacing w:line="360" w:lineRule="auto"/>
        <w:ind w:firstLine="560" w:firstLineChars="200"/>
        <w:rPr>
          <w:rFonts w:ascii="仿宋_GB2312" w:hAnsi="??" w:eastAsia="仿宋_GB2312"/>
          <w:color w:val="000000"/>
          <w:sz w:val="28"/>
          <w:szCs w:val="28"/>
        </w:rPr>
      </w:pPr>
      <w:r>
        <w:rPr>
          <w:rFonts w:ascii="仿宋_GB2312" w:hAnsi="??" w:eastAsia="仿宋_GB2312" w:cs="仿宋_GB2312"/>
          <w:color w:val="000000"/>
          <w:sz w:val="28"/>
          <w:szCs w:val="28"/>
        </w:rPr>
        <w:t>5、</w:t>
      </w:r>
      <w:r>
        <w:rPr>
          <w:rFonts w:hint="eastAsia" w:ascii="仿宋_GB2312" w:hAnsi="??" w:eastAsia="仿宋_GB2312" w:cs="仿宋_GB2312"/>
          <w:color w:val="000000"/>
          <w:sz w:val="28"/>
          <w:szCs w:val="28"/>
        </w:rPr>
        <w:t>招标人可以按照规定，通过修改招标文件有权酌情延长投标截止日期，在此情况下，投标人的所有权利和义务以及投标人受制的截止日期均应以延长后新的截止日期为准。</w:t>
      </w:r>
    </w:p>
    <w:p>
      <w:pPr>
        <w:spacing w:line="360" w:lineRule="auto"/>
        <w:ind w:firstLine="562" w:firstLineChars="200"/>
        <w:rPr>
          <w:rFonts w:ascii="黑体" w:hAnsi="黑体" w:eastAsia="黑体" w:cs="黑体"/>
          <w:b/>
          <w:bCs/>
          <w:sz w:val="28"/>
          <w:szCs w:val="28"/>
        </w:rPr>
      </w:pPr>
      <w:r>
        <w:rPr>
          <w:rFonts w:hint="eastAsia" w:ascii="黑体" w:hAnsi="黑体" w:eastAsia="黑体" w:cs="黑体"/>
          <w:b/>
          <w:bCs/>
          <w:sz w:val="28"/>
          <w:szCs w:val="28"/>
        </w:rPr>
        <w:t>五、期望得到的协助与配合</w:t>
      </w:r>
    </w:p>
    <w:p>
      <w:pPr>
        <w:adjustRightInd w:val="0"/>
        <w:snapToGrid w:val="0"/>
        <w:spacing w:line="360" w:lineRule="auto"/>
        <w:ind w:firstLine="560" w:firstLineChars="200"/>
      </w:pPr>
      <w:r>
        <w:rPr>
          <w:rFonts w:hint="eastAsia" w:ascii="仿宋_GB2312" w:hAnsi="??" w:eastAsia="仿宋_GB2312" w:cs="仿宋_GB2312"/>
          <w:color w:val="000000"/>
          <w:sz w:val="28"/>
          <w:szCs w:val="28"/>
        </w:rPr>
        <w:t>为了提高招标采购效率，节约社会交易成本及时间，希望购买了招标文件，而又决定不参加本次招标的投标人，请在投标截止时间前2天书面或电话告知我们（联系人：杨老师，办公电话：0515—</w:t>
      </w:r>
      <w:r>
        <w:rPr>
          <w:rFonts w:hint="eastAsia" w:ascii="仿宋_GB2312" w:hAnsi="仿宋_GB2312" w:eastAsia="仿宋_GB2312" w:cs="仿宋_GB2312"/>
          <w:color w:val="000000"/>
          <w:sz w:val="28"/>
          <w:szCs w:val="28"/>
          <w:lang w:val="en-US" w:eastAsia="zh-CN"/>
        </w:rPr>
        <w:t>68661002</w:t>
      </w:r>
      <w:r>
        <w:rPr>
          <w:rFonts w:hint="eastAsia" w:ascii="仿宋_GB2312" w:hAnsi="??" w:eastAsia="仿宋_GB2312" w:cs="仿宋_GB2312"/>
          <w:color w:val="000000"/>
          <w:sz w:val="28"/>
          <w:szCs w:val="28"/>
        </w:rPr>
        <w:t>），对于无故临时放弃投标的投标人，我校将根据情况将投标单位纳入招投标黑名单。对您的支持与配合，谨此致谢。</w:t>
      </w:r>
    </w:p>
    <w:p>
      <w:pPr>
        <w:spacing w:line="360" w:lineRule="auto"/>
        <w:ind w:firstLine="562" w:firstLineChars="200"/>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val="en-US" w:eastAsia="zh-CN"/>
        </w:rPr>
        <w:t>六</w:t>
      </w:r>
      <w:r>
        <w:rPr>
          <w:rFonts w:hint="eastAsia" w:ascii="黑体" w:hAnsi="黑体" w:eastAsia="黑体" w:cs="黑体"/>
          <w:b/>
          <w:bCs/>
          <w:color w:val="000000"/>
          <w:sz w:val="28"/>
          <w:szCs w:val="28"/>
          <w:lang w:eastAsia="zh-CN"/>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lang w:eastAsia="zh-CN"/>
        </w:rPr>
        <w:t>要求</w:t>
      </w:r>
    </w:p>
    <w:p>
      <w:pPr>
        <w:pStyle w:val="29"/>
        <w:spacing w:line="360" w:lineRule="auto"/>
        <w:ind w:firstLine="560" w:firstLineChars="200"/>
        <w:jc w:val="both"/>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pPr>
        <w:pStyle w:val="29"/>
        <w:spacing w:line="360" w:lineRule="auto"/>
        <w:ind w:firstLine="560" w:firstLineChars="200"/>
        <w:jc w:val="both"/>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pPr>
        <w:pStyle w:val="29"/>
        <w:spacing w:line="360" w:lineRule="auto"/>
        <w:ind w:firstLine="560" w:firstLineChars="200"/>
        <w:jc w:val="both"/>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pPr>
        <w:pStyle w:val="29"/>
        <w:spacing w:line="360" w:lineRule="auto"/>
        <w:ind w:firstLine="560" w:firstLineChars="2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r>
        <w:rPr>
          <w:rFonts w:hint="eastAsia" w:ascii="仿宋_GB2312" w:hAnsi="仿宋_GB2312" w:eastAsia="仿宋_GB2312" w:cs="仿宋_GB2312"/>
          <w:color w:val="000000"/>
          <w:sz w:val="28"/>
          <w:szCs w:val="28"/>
          <w:lang w:val="en-US" w:eastAsia="zh-CN"/>
        </w:rPr>
        <w:t xml:space="preserve"> </w:t>
      </w:r>
    </w:p>
    <w:p>
      <w:pPr>
        <w:spacing w:before="156" w:after="156" w:line="480" w:lineRule="exact"/>
        <w:jc w:val="right"/>
        <w:rPr>
          <w:rFonts w:ascii="仿宋_GB2312" w:hAnsi="仿宋_GB2312" w:eastAsia="仿宋_GB2312" w:cs="仿宋_GB2312"/>
          <w:color w:val="000000"/>
          <w:sz w:val="44"/>
        </w:rPr>
      </w:pPr>
      <w:r>
        <w:rPr>
          <w:rFonts w:hint="eastAsia" w:ascii="仿宋_GB2312" w:hAnsi="仿宋_GB2312" w:eastAsia="仿宋_GB2312" w:cs="仿宋_GB2312"/>
          <w:color w:val="000000"/>
          <w:sz w:val="28"/>
          <w:szCs w:val="28"/>
        </w:rPr>
        <w:t>202</w:t>
      </w:r>
      <w:r>
        <w:rPr>
          <w:rFonts w:hint="eastAsia" w:ascii="仿宋_GB2312" w:hAnsi="仿宋_GB2312" w:eastAsia="仿宋_GB2312" w:cs="仿宋_GB2312"/>
          <w:color w:val="000000"/>
          <w:sz w:val="28"/>
          <w:szCs w:val="28"/>
          <w:lang w:val="en-US" w:eastAsia="zh-CN"/>
        </w:rPr>
        <w:t>3</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lang w:val="en-US" w:eastAsia="zh-CN"/>
        </w:rPr>
        <w:t>12</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21</w:t>
      </w:r>
      <w:r>
        <w:rPr>
          <w:rFonts w:hint="eastAsia" w:ascii="仿宋_GB2312" w:hAnsi="仿宋_GB2312" w:eastAsia="仿宋_GB2312" w:cs="仿宋_GB2312"/>
          <w:color w:val="000000"/>
          <w:sz w:val="28"/>
          <w:szCs w:val="28"/>
        </w:rPr>
        <w:t>日</w:t>
      </w:r>
    </w:p>
    <w:p>
      <w:pPr>
        <w:pStyle w:val="10"/>
        <w:ind w:firstLine="0"/>
        <w:rPr>
          <w:rFonts w:ascii="仿宋_GB2312" w:hAnsi="仿宋_GB2312" w:eastAsia="仿宋_GB2312" w:cs="仿宋_GB2312"/>
          <w:color w:val="000000"/>
          <w:sz w:val="44"/>
        </w:rPr>
      </w:pPr>
    </w:p>
    <w:p>
      <w:pPr>
        <w:pStyle w:val="10"/>
        <w:ind w:firstLine="0"/>
        <w:rPr>
          <w:rFonts w:ascii="仿宋_GB2312" w:hAnsi="仿宋_GB2312" w:eastAsia="仿宋_GB2312" w:cs="仿宋_GB2312"/>
          <w:color w:val="000000"/>
          <w:sz w:val="44"/>
        </w:rPr>
      </w:pPr>
    </w:p>
    <w:p>
      <w:pPr>
        <w:spacing w:line="520" w:lineRule="exact"/>
        <w:rPr>
          <w:rFonts w:hint="eastAsia" w:ascii="仿宋_GB2312" w:hAnsi="仿宋_GB2312" w:eastAsia="PMingLiU" w:cs="仿宋_GB2312"/>
          <w:color w:val="000000"/>
          <w:sz w:val="44"/>
          <w:szCs w:val="44"/>
        </w:rPr>
      </w:pPr>
      <w:bookmarkStart w:id="0" w:name="_GoBack"/>
      <w:bookmarkEnd w:id="0"/>
    </w:p>
    <w:sectPr>
      <w:headerReference r:id="rId3" w:type="default"/>
      <w:footerReference r:id="rId4" w:type="default"/>
      <w:endnotePr>
        <w:numFmt w:val="decimal"/>
      </w:endnotePr>
      <w:pgSz w:w="11906" w:h="16838"/>
      <w:pgMar w:top="1440" w:right="1800" w:bottom="1440" w:left="1800" w:header="720" w:footer="99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_GB2312">
    <w:altName w:val="Times New Roman"/>
    <w:panose1 w:val="00000000000000000000"/>
    <w:charset w:val="00"/>
    <w:family w:val="auto"/>
    <w:pitch w:val="default"/>
    <w:sig w:usb0="00000000" w:usb1="00000000" w:usb2="00000000" w:usb3="00000000" w:csb0="00000001" w:csb1="00000000"/>
  </w:font>
  <w:font w:name="PMingLiU">
    <w:altName w:val="PMingLiU-ExtB"/>
    <w:panose1 w:val="02020300000000000000"/>
    <w:charset w:val="88"/>
    <w:family w:val="roman"/>
    <w:pitch w:val="default"/>
    <w:sig w:usb0="00000000" w:usb1="00000000" w:usb2="00000016" w:usb3="00000000" w:csb0="00100001" w:csb1="00000000"/>
  </w:font>
  <w:font w:name="楷体">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pict>
        <v:rect id="Text Box 1026" o:spid="_x0000_s3073" o:spt="1" style="position:absolute;left:0pt;margin-top:0pt;height:11.65pt;width:72.2pt;mso-position-horizontal:center;mso-position-horizontal-relative:margin;mso-wrap-style:none;z-index:251659264;mso-width-relative:page;mso-height-relative:page;" filled="f" stroked="f" coordsize="21600,21600" o:allowincell="f">
          <v:path/>
          <v:fill on="f" focussize="0,0"/>
          <v:stroke on="f"/>
          <v:imagedata o:title=""/>
          <o:lock v:ext="edit"/>
          <v:textbox inset="0mm,0mm,0mm,0mm" style="mso-fit-shape-to-text:t;">
            <w:txbxContent>
              <w:p>
                <w:r>
                  <w:rPr>
                    <w:rFonts w:hint="eastAsia"/>
                  </w:rPr>
                  <w:t>第</w:t>
                </w:r>
                <w:r>
                  <w:t xml:space="preserve"> </w:t>
                </w:r>
                <w:r>
                  <w:fldChar w:fldCharType="begin"/>
                </w:r>
                <w:r>
                  <w:instrText xml:space="preserve"> PAGE \* Arabic </w:instrText>
                </w:r>
                <w:r>
                  <w:fldChar w:fldCharType="separate"/>
                </w:r>
                <w:r>
                  <w:t>4</w:t>
                </w:r>
                <w:r>
                  <w:fldChar w:fldCharType="end"/>
                </w:r>
                <w:r>
                  <w:t xml:space="preserve"> </w:t>
                </w:r>
                <w:r>
                  <w:rPr>
                    <w:rFonts w:hint="eastAsia"/>
                  </w:rPr>
                  <w:t>页</w:t>
                </w:r>
                <w:r>
                  <w:t xml:space="preserve"> </w:t>
                </w:r>
                <w:r>
                  <w:rPr>
                    <w:rFonts w:hint="eastAsia"/>
                  </w:rPr>
                  <w:t>共</w:t>
                </w:r>
                <w:r>
                  <w:t xml:space="preserve"> </w:t>
                </w:r>
                <w:r>
                  <w:fldChar w:fldCharType="begin"/>
                </w:r>
                <w:r>
                  <w:instrText xml:space="preserve"> NUMPAGES \* Arabic </w:instrText>
                </w:r>
                <w:r>
                  <w:fldChar w:fldCharType="separate"/>
                </w:r>
                <w:r>
                  <w:t>19</w:t>
                </w:r>
                <w:r>
                  <w:fldChar w:fldCharType="end"/>
                </w:r>
                <w:r>
                  <w:t xml:space="preserve"> </w:t>
                </w:r>
                <w:r>
                  <w:rPr>
                    <w:rFonts w:hint="eastAsia"/>
                  </w:rPr>
                  <w:t>页</w:t>
                </w:r>
              </w:p>
            </w:txbxContent>
          </v:textbox>
        </v:rect>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0"/>
  <w:drawingGridVerticalSpacing w:val="156"/>
  <w:noPunctuationKerning w:val="1"/>
  <w:characterSpacingControl w:val="doNotCompress"/>
  <w:noLineBreaksAfter w:lang="zh-CN" w:val="$([{£¥·‘“〈《「『【〔〖〝﹙﹛﹝＄（．［｛￡￥"/>
  <w:noLineBreaksBefore w:lang="zh-CN" w:val="!%),.:;&gt;?]}¢¨°·ˇˉ―‖’”…‰′″›℃∶、。〃〉》」』】〕〗〞︶︺︾﹀﹄﹚﹜﹞！＂％＇），．：；？］｀｜｝～￠"/>
  <w:hdrShapeDefaults>
    <o:shapelayout v:ext="edit">
      <o:idmap v:ext="edit" data="1,3"/>
    </o:shapelayout>
  </w:hdrShapeDefaults>
  <w:endnotePr>
    <w:numFmt w:val="decimal"/>
  </w:end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OThjZTJmNzcxZDYzMmViNWNhMGFkMGVlMWE2NzRlNzIifQ=="/>
  </w:docVars>
  <w:rsids>
    <w:rsidRoot w:val="00237AB7"/>
    <w:rsid w:val="000400D4"/>
    <w:rsid w:val="000D4FBE"/>
    <w:rsid w:val="00183D74"/>
    <w:rsid w:val="00197225"/>
    <w:rsid w:val="001C6241"/>
    <w:rsid w:val="002226FD"/>
    <w:rsid w:val="00237AB7"/>
    <w:rsid w:val="0026433D"/>
    <w:rsid w:val="0027713B"/>
    <w:rsid w:val="002E4DDB"/>
    <w:rsid w:val="003422B5"/>
    <w:rsid w:val="00342968"/>
    <w:rsid w:val="003471E1"/>
    <w:rsid w:val="003F53DD"/>
    <w:rsid w:val="004608B5"/>
    <w:rsid w:val="004B708F"/>
    <w:rsid w:val="004E6189"/>
    <w:rsid w:val="0051568D"/>
    <w:rsid w:val="00570302"/>
    <w:rsid w:val="00644AC4"/>
    <w:rsid w:val="008247AA"/>
    <w:rsid w:val="00837DE5"/>
    <w:rsid w:val="00847160"/>
    <w:rsid w:val="008701F7"/>
    <w:rsid w:val="00891D12"/>
    <w:rsid w:val="009274D8"/>
    <w:rsid w:val="0095778B"/>
    <w:rsid w:val="00A15DA6"/>
    <w:rsid w:val="00AC2C5A"/>
    <w:rsid w:val="00AD795F"/>
    <w:rsid w:val="00B351C8"/>
    <w:rsid w:val="00C709A0"/>
    <w:rsid w:val="00DA1D4A"/>
    <w:rsid w:val="00DA4ADA"/>
    <w:rsid w:val="00DA6F0C"/>
    <w:rsid w:val="00E02CA9"/>
    <w:rsid w:val="00E275AF"/>
    <w:rsid w:val="00E61982"/>
    <w:rsid w:val="00F51C72"/>
    <w:rsid w:val="00F836DA"/>
    <w:rsid w:val="00FA29A1"/>
    <w:rsid w:val="00FA7B5A"/>
    <w:rsid w:val="00FD2BEA"/>
    <w:rsid w:val="02E81DEA"/>
    <w:rsid w:val="03713685"/>
    <w:rsid w:val="059F660D"/>
    <w:rsid w:val="05DB13A0"/>
    <w:rsid w:val="08090E24"/>
    <w:rsid w:val="0CAC4EDB"/>
    <w:rsid w:val="0D547CC7"/>
    <w:rsid w:val="0E4B3DBB"/>
    <w:rsid w:val="0FBC185B"/>
    <w:rsid w:val="14C8570F"/>
    <w:rsid w:val="18462F50"/>
    <w:rsid w:val="1CAC149F"/>
    <w:rsid w:val="1D4D5751"/>
    <w:rsid w:val="1DEF2F04"/>
    <w:rsid w:val="1DFF46D8"/>
    <w:rsid w:val="1E77C1FE"/>
    <w:rsid w:val="23281934"/>
    <w:rsid w:val="245F106A"/>
    <w:rsid w:val="24D44BFB"/>
    <w:rsid w:val="27793FA3"/>
    <w:rsid w:val="277B72AA"/>
    <w:rsid w:val="28C47F40"/>
    <w:rsid w:val="299A470B"/>
    <w:rsid w:val="2CEB4101"/>
    <w:rsid w:val="2E732548"/>
    <w:rsid w:val="2EA07972"/>
    <w:rsid w:val="32A5159B"/>
    <w:rsid w:val="35B833C6"/>
    <w:rsid w:val="36595244"/>
    <w:rsid w:val="3B9C7B02"/>
    <w:rsid w:val="3BCF6940"/>
    <w:rsid w:val="3BE62A6C"/>
    <w:rsid w:val="3C7F45F6"/>
    <w:rsid w:val="3D170626"/>
    <w:rsid w:val="3DFF604C"/>
    <w:rsid w:val="3E6316D2"/>
    <w:rsid w:val="3E852E61"/>
    <w:rsid w:val="3FBF84B3"/>
    <w:rsid w:val="3FBF9F63"/>
    <w:rsid w:val="3FF78EFB"/>
    <w:rsid w:val="41865A3F"/>
    <w:rsid w:val="438E4917"/>
    <w:rsid w:val="43B628D4"/>
    <w:rsid w:val="440663B0"/>
    <w:rsid w:val="44851921"/>
    <w:rsid w:val="44B55D88"/>
    <w:rsid w:val="462614F0"/>
    <w:rsid w:val="46D35E2E"/>
    <w:rsid w:val="48764FF1"/>
    <w:rsid w:val="48F2735A"/>
    <w:rsid w:val="49EC4F47"/>
    <w:rsid w:val="4ADF3327"/>
    <w:rsid w:val="4D9C1289"/>
    <w:rsid w:val="4E022A9E"/>
    <w:rsid w:val="4EB94FF9"/>
    <w:rsid w:val="4F5874C2"/>
    <w:rsid w:val="50B869A9"/>
    <w:rsid w:val="52381EAF"/>
    <w:rsid w:val="52412BE0"/>
    <w:rsid w:val="54BA4A9B"/>
    <w:rsid w:val="57780D39"/>
    <w:rsid w:val="5B533C5D"/>
    <w:rsid w:val="5B730290"/>
    <w:rsid w:val="5BFFA5F3"/>
    <w:rsid w:val="5DF3DCB2"/>
    <w:rsid w:val="5FFDE51E"/>
    <w:rsid w:val="5FFE2FAE"/>
    <w:rsid w:val="608164C6"/>
    <w:rsid w:val="64A22CC1"/>
    <w:rsid w:val="65CFC77F"/>
    <w:rsid w:val="68F16C18"/>
    <w:rsid w:val="6B1E7B93"/>
    <w:rsid w:val="6BBB50E5"/>
    <w:rsid w:val="6BC767B1"/>
    <w:rsid w:val="6CB81EF4"/>
    <w:rsid w:val="6DB927C7"/>
    <w:rsid w:val="6E7D614B"/>
    <w:rsid w:val="6EF512BA"/>
    <w:rsid w:val="6F6E7A1A"/>
    <w:rsid w:val="712A0B3A"/>
    <w:rsid w:val="716C1FBA"/>
    <w:rsid w:val="71994CE6"/>
    <w:rsid w:val="71CD1979"/>
    <w:rsid w:val="72301820"/>
    <w:rsid w:val="753A17E0"/>
    <w:rsid w:val="75A46398"/>
    <w:rsid w:val="75DE6F26"/>
    <w:rsid w:val="76AF01D4"/>
    <w:rsid w:val="770A3B4D"/>
    <w:rsid w:val="777F68F2"/>
    <w:rsid w:val="787F2404"/>
    <w:rsid w:val="79D01E1A"/>
    <w:rsid w:val="7A1802E7"/>
    <w:rsid w:val="7BDBFC21"/>
    <w:rsid w:val="7BE129E3"/>
    <w:rsid w:val="7EFEF6F1"/>
    <w:rsid w:val="7F4867A4"/>
    <w:rsid w:val="7F4C1F36"/>
    <w:rsid w:val="7FF6A8B5"/>
    <w:rsid w:val="7FFE3C5A"/>
    <w:rsid w:val="8EF76CA8"/>
    <w:rsid w:val="A6F79819"/>
    <w:rsid w:val="AEE95F16"/>
    <w:rsid w:val="B5D40F7C"/>
    <w:rsid w:val="B977AE71"/>
    <w:rsid w:val="BEDFE56E"/>
    <w:rsid w:val="BFFB47D4"/>
    <w:rsid w:val="CB637449"/>
    <w:rsid w:val="D9FF53AE"/>
    <w:rsid w:val="DD5694AF"/>
    <w:rsid w:val="DDDB93ED"/>
    <w:rsid w:val="DEDF7FFD"/>
    <w:rsid w:val="DFF3BB21"/>
    <w:rsid w:val="EBDB1CCD"/>
    <w:rsid w:val="EE6F7C3E"/>
    <w:rsid w:val="EED743C3"/>
    <w:rsid w:val="EF5FB1DC"/>
    <w:rsid w:val="EFEF4389"/>
    <w:rsid w:val="EFFA62B5"/>
    <w:rsid w:val="F496A784"/>
    <w:rsid w:val="F5FD03CE"/>
    <w:rsid w:val="F6FA4B0A"/>
    <w:rsid w:val="FB9FC34C"/>
    <w:rsid w:val="FDFFF787"/>
    <w:rsid w:val="FE7EA87D"/>
    <w:rsid w:val="FEE24BE0"/>
    <w:rsid w:val="FFBF18A4"/>
    <w:rsid w:val="FFBF8C76"/>
    <w:rsid w:val="FFCF67AD"/>
    <w:rsid w:val="FFDA774D"/>
    <w:rsid w:val="FFEFD97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1"/>
      <w:sz w:val="21"/>
      <w:szCs w:val="22"/>
      <w:lang w:val="en-US" w:eastAsia="zh-CN" w:bidi="ar-SA"/>
    </w:rPr>
  </w:style>
  <w:style w:type="paragraph" w:styleId="3">
    <w:name w:val="heading 1"/>
    <w:basedOn w:val="1"/>
    <w:next w:val="1"/>
    <w:link w:val="14"/>
    <w:qFormat/>
    <w:uiPriority w:val="99"/>
    <w:pPr>
      <w:keepNext/>
      <w:keepLines/>
      <w:spacing w:before="340" w:after="330" w:line="360" w:lineRule="auto"/>
      <w:jc w:val="center"/>
      <w:outlineLvl w:val="0"/>
    </w:pPr>
    <w:rPr>
      <w:rFonts w:ascii="Times New Roman" w:hAnsi="Times New Roman"/>
      <w:b/>
      <w:bCs/>
      <w:sz w:val="44"/>
      <w:szCs w:val="44"/>
    </w:rPr>
  </w:style>
  <w:style w:type="paragraph" w:styleId="2">
    <w:name w:val="heading 2"/>
    <w:basedOn w:val="1"/>
    <w:next w:val="1"/>
    <w:link w:val="15"/>
    <w:qFormat/>
    <w:uiPriority w:val="99"/>
    <w:pPr>
      <w:keepNext/>
      <w:keepLines/>
      <w:spacing w:before="260" w:after="260" w:line="415" w:lineRule="auto"/>
      <w:outlineLvl w:val="1"/>
    </w:pPr>
    <w:rPr>
      <w:rFonts w:ascii="Arial" w:hAnsi="Arial" w:eastAsia="黑体"/>
      <w:b/>
      <w:bCs/>
      <w:sz w:val="32"/>
      <w:szCs w:val="32"/>
    </w:rPr>
  </w:style>
  <w:style w:type="character" w:default="1" w:styleId="12">
    <w:name w:val="Default Paragraph Font"/>
    <w:semiHidden/>
    <w:unhideWhenUsed/>
    <w:qFormat/>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4">
    <w:name w:val="Body Text"/>
    <w:basedOn w:val="1"/>
    <w:next w:val="1"/>
    <w:link w:val="16"/>
    <w:qFormat/>
    <w:uiPriority w:val="99"/>
    <w:pPr>
      <w:spacing w:after="120"/>
    </w:pPr>
  </w:style>
  <w:style w:type="paragraph" w:styleId="5">
    <w:name w:val="Body Text Indent"/>
    <w:basedOn w:val="1"/>
    <w:link w:val="18"/>
    <w:qFormat/>
    <w:uiPriority w:val="99"/>
    <w:pPr>
      <w:ind w:left="-105" w:firstLine="232"/>
    </w:pPr>
    <w:rPr>
      <w:rFonts w:eastAsia="仿宋_GB2312"/>
      <w:sz w:val="32"/>
    </w:rPr>
  </w:style>
  <w:style w:type="paragraph" w:styleId="6">
    <w:name w:val="Plain Text"/>
    <w:basedOn w:val="1"/>
    <w:qFormat/>
    <w:uiPriority w:val="0"/>
    <w:pPr>
      <w:widowControl/>
      <w:overflowPunct w:val="0"/>
      <w:autoSpaceDE w:val="0"/>
      <w:autoSpaceDN w:val="0"/>
      <w:adjustRightInd w:val="0"/>
      <w:jc w:val="left"/>
      <w:textAlignment w:val="baseline"/>
    </w:pPr>
    <w:rPr>
      <w:rFonts w:ascii="宋体" w:hAnsi="Courier New"/>
      <w:szCs w:val="21"/>
    </w:rPr>
  </w:style>
  <w:style w:type="paragraph" w:styleId="7">
    <w:name w:val="footer"/>
    <w:basedOn w:val="1"/>
    <w:link w:val="19"/>
    <w:qFormat/>
    <w:uiPriority w:val="99"/>
    <w:pPr>
      <w:jc w:val="left"/>
    </w:pPr>
    <w:rPr>
      <w:sz w:val="18"/>
      <w:szCs w:val="18"/>
    </w:rPr>
  </w:style>
  <w:style w:type="paragraph" w:styleId="8">
    <w:name w:val="header"/>
    <w:basedOn w:val="1"/>
    <w:link w:val="20"/>
    <w:qFormat/>
    <w:uiPriority w:val="99"/>
    <w:pPr>
      <w:pBdr>
        <w:top w:val="none" w:color="000000" w:sz="0" w:space="3"/>
        <w:left w:val="none" w:color="000000" w:sz="0" w:space="3"/>
        <w:bottom w:val="single" w:color="000000" w:sz="6" w:space="1"/>
        <w:right w:val="none" w:color="000000" w:sz="0" w:space="3"/>
        <w:between w:val="none" w:color="000000" w:sz="0" w:space="0"/>
      </w:pBdr>
      <w:shd w:val="solid" w:color="auto" w:fill="auto"/>
      <w:jc w:val="center"/>
    </w:pPr>
    <w:rPr>
      <w:sz w:val="18"/>
      <w:szCs w:val="18"/>
    </w:rPr>
  </w:style>
  <w:style w:type="paragraph" w:styleId="9">
    <w:name w:val="Message Header"/>
    <w:basedOn w:val="1"/>
    <w:qFormat/>
    <w:uiPriority w:val="0"/>
    <w:pPr>
      <w:adjustRightInd w:val="0"/>
    </w:pPr>
    <w:rPr>
      <w:rFonts w:ascii="仿宋_GB2312" w:hAnsi="仿宋_GB2312" w:eastAsia="等线 Light" w:cs="Arial"/>
      <w:kern w:val="2"/>
    </w:rPr>
  </w:style>
  <w:style w:type="paragraph" w:styleId="10">
    <w:name w:val="Body Text First Indent"/>
    <w:basedOn w:val="4"/>
    <w:next w:val="1"/>
    <w:link w:val="17"/>
    <w:qFormat/>
    <w:uiPriority w:val="99"/>
    <w:pPr>
      <w:spacing w:after="0"/>
      <w:ind w:firstLine="420"/>
    </w:pPr>
  </w:style>
  <w:style w:type="character" w:styleId="13">
    <w:name w:val="Hyperlink"/>
    <w:basedOn w:val="12"/>
    <w:qFormat/>
    <w:uiPriority w:val="99"/>
    <w:rPr>
      <w:rFonts w:cs="Times New Roman"/>
      <w:color w:val="006699"/>
      <w:kern w:val="0"/>
      <w:sz w:val="20"/>
      <w:u w:val="single"/>
      <w:lang w:val="en-US" w:eastAsia="zh-CN"/>
    </w:rPr>
  </w:style>
  <w:style w:type="character" w:customStyle="1" w:styleId="14">
    <w:name w:val="标题 1 字符"/>
    <w:basedOn w:val="12"/>
    <w:link w:val="3"/>
    <w:qFormat/>
    <w:uiPriority w:val="9"/>
    <w:rPr>
      <w:b/>
      <w:bCs/>
      <w:kern w:val="44"/>
      <w:sz w:val="44"/>
      <w:szCs w:val="44"/>
    </w:rPr>
  </w:style>
  <w:style w:type="character" w:customStyle="1" w:styleId="15">
    <w:name w:val="标题 2 字符"/>
    <w:basedOn w:val="12"/>
    <w:link w:val="2"/>
    <w:semiHidden/>
    <w:qFormat/>
    <w:uiPriority w:val="9"/>
    <w:rPr>
      <w:rFonts w:ascii="Cambria" w:hAnsi="Cambria" w:eastAsia="宋体" w:cs="Times New Roman"/>
      <w:b/>
      <w:bCs/>
      <w:kern w:val="1"/>
      <w:sz w:val="32"/>
      <w:szCs w:val="32"/>
    </w:rPr>
  </w:style>
  <w:style w:type="character" w:customStyle="1" w:styleId="16">
    <w:name w:val="正文文本 字符"/>
    <w:basedOn w:val="12"/>
    <w:link w:val="4"/>
    <w:semiHidden/>
    <w:qFormat/>
    <w:uiPriority w:val="99"/>
    <w:rPr>
      <w:kern w:val="1"/>
    </w:rPr>
  </w:style>
  <w:style w:type="character" w:customStyle="1" w:styleId="17">
    <w:name w:val="正文文本首行缩进 字符"/>
    <w:basedOn w:val="16"/>
    <w:link w:val="10"/>
    <w:semiHidden/>
    <w:qFormat/>
    <w:uiPriority w:val="99"/>
    <w:rPr>
      <w:kern w:val="1"/>
    </w:rPr>
  </w:style>
  <w:style w:type="character" w:customStyle="1" w:styleId="18">
    <w:name w:val="正文文本缩进 字符"/>
    <w:basedOn w:val="12"/>
    <w:link w:val="5"/>
    <w:semiHidden/>
    <w:qFormat/>
    <w:uiPriority w:val="99"/>
    <w:rPr>
      <w:kern w:val="1"/>
    </w:rPr>
  </w:style>
  <w:style w:type="character" w:customStyle="1" w:styleId="19">
    <w:name w:val="页脚 字符"/>
    <w:basedOn w:val="12"/>
    <w:link w:val="7"/>
    <w:semiHidden/>
    <w:qFormat/>
    <w:uiPriority w:val="99"/>
    <w:rPr>
      <w:kern w:val="1"/>
      <w:sz w:val="18"/>
      <w:szCs w:val="18"/>
    </w:rPr>
  </w:style>
  <w:style w:type="character" w:customStyle="1" w:styleId="20">
    <w:name w:val="页眉 字符"/>
    <w:basedOn w:val="12"/>
    <w:link w:val="8"/>
    <w:semiHidden/>
    <w:qFormat/>
    <w:uiPriority w:val="99"/>
    <w:rPr>
      <w:kern w:val="1"/>
      <w:sz w:val="18"/>
      <w:szCs w:val="18"/>
    </w:rPr>
  </w:style>
  <w:style w:type="character" w:customStyle="1" w:styleId="21">
    <w:name w:val="正文文本字符"/>
    <w:qFormat/>
    <w:uiPriority w:val="99"/>
    <w:rPr>
      <w:kern w:val="1"/>
      <w:sz w:val="22"/>
    </w:rPr>
  </w:style>
  <w:style w:type="character" w:customStyle="1" w:styleId="22">
    <w:name w:val="标题 2字符"/>
    <w:qFormat/>
    <w:uiPriority w:val="99"/>
    <w:rPr>
      <w:rFonts w:ascii="Arial" w:hAnsi="Arial" w:eastAsia="黑体"/>
      <w:b/>
      <w:kern w:val="1"/>
      <w:sz w:val="32"/>
    </w:rPr>
  </w:style>
  <w:style w:type="character" w:customStyle="1" w:styleId="23">
    <w:name w:val="页脚字符"/>
    <w:qFormat/>
    <w:uiPriority w:val="99"/>
    <w:rPr>
      <w:rFonts w:ascii="Calibri" w:hAnsi="Calibri"/>
      <w:kern w:val="1"/>
      <w:sz w:val="18"/>
    </w:rPr>
  </w:style>
  <w:style w:type="character" w:customStyle="1" w:styleId="24">
    <w:name w:val="正文首行缩进字符"/>
    <w:qFormat/>
    <w:uiPriority w:val="99"/>
    <w:rPr>
      <w:kern w:val="1"/>
      <w:sz w:val="22"/>
    </w:rPr>
  </w:style>
  <w:style w:type="character" w:customStyle="1" w:styleId="25">
    <w:name w:val="页眉字符"/>
    <w:qFormat/>
    <w:uiPriority w:val="99"/>
    <w:rPr>
      <w:rFonts w:ascii="Calibri" w:hAnsi="Calibri"/>
      <w:kern w:val="1"/>
      <w:sz w:val="18"/>
    </w:rPr>
  </w:style>
  <w:style w:type="paragraph" w:customStyle="1" w:styleId="26">
    <w:name w:val="正文空2格  1."/>
    <w:qFormat/>
    <w:uiPriority w:val="99"/>
    <w:pPr>
      <w:widowControl w:val="0"/>
      <w:spacing w:line="360" w:lineRule="auto"/>
      <w:ind w:firstLine="200"/>
      <w:jc w:val="both"/>
    </w:pPr>
    <w:rPr>
      <w:rFonts w:ascii="宋体" w:hAnsi="宋体" w:eastAsia="仿宋" w:cs="宋体"/>
      <w:kern w:val="1"/>
      <w:sz w:val="28"/>
      <w:lang w:val="en-US" w:eastAsia="zh-CN" w:bidi="ar-SA"/>
    </w:rPr>
  </w:style>
  <w:style w:type="paragraph" w:customStyle="1" w:styleId="27">
    <w:name w:val="正文 1.1.1"/>
    <w:qFormat/>
    <w:uiPriority w:val="99"/>
    <w:pPr>
      <w:widowControl w:val="0"/>
      <w:spacing w:line="360" w:lineRule="auto"/>
      <w:jc w:val="both"/>
      <w:outlineLvl w:val="2"/>
    </w:pPr>
    <w:rPr>
      <w:rFonts w:ascii="宋体" w:hAnsi="宋体" w:eastAsia="仿宋" w:cs="Times New Roman"/>
      <w:kern w:val="1"/>
      <w:sz w:val="28"/>
      <w:szCs w:val="21"/>
      <w:lang w:val="en-US" w:eastAsia="zh-CN" w:bidi="ar-SA"/>
    </w:rPr>
  </w:style>
  <w:style w:type="paragraph" w:customStyle="1" w:styleId="28">
    <w:name w:val="列出段落1"/>
    <w:qFormat/>
    <w:uiPriority w:val="99"/>
    <w:pPr>
      <w:widowControl w:val="0"/>
      <w:ind w:firstLine="420"/>
      <w:jc w:val="both"/>
    </w:pPr>
    <w:rPr>
      <w:rFonts w:ascii="Calibri" w:hAnsi="Calibri" w:eastAsia="宋体" w:cs="Times New Roman"/>
      <w:kern w:val="1"/>
      <w:sz w:val="21"/>
      <w:szCs w:val="22"/>
      <w:lang w:val="en-US" w:eastAsia="zh-CN" w:bidi="ar-SA"/>
    </w:rPr>
  </w:style>
  <w:style w:type="paragraph" w:customStyle="1" w:styleId="29">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73"/>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779943F-CD62-4D27-8017-A1110C0B7A7D}">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21</Pages>
  <Words>1255</Words>
  <Characters>7157</Characters>
  <Lines>59</Lines>
  <Paragraphs>16</Paragraphs>
  <TotalTime>3</TotalTime>
  <ScaleCrop>false</ScaleCrop>
  <LinksUpToDate>false</LinksUpToDate>
  <CharactersWithSpaces>8396</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2019-12-13T09:16:00Z</dcterms:created>
  <dc:creator>yy</dc:creator>
  <cp:lastModifiedBy>有</cp:lastModifiedBy>
  <cp:lastPrinted>2023-12-21T07:11:00Z</cp:lastPrinted>
  <dcterms:modified xsi:type="dcterms:W3CDTF">2023-12-21T07:32:30Z</dcterms:modified>
  <dc:title>招标文件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97F3BA573A954D7387EA0C3FD1BD4461_12</vt:lpwstr>
  </property>
</Properties>
</file>